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866A59" w14:textId="41FAC7FD" w:rsidR="00374F58" w:rsidRDefault="00374F58">
      <w:pPr>
        <w:ind w:right="251"/>
        <w:rPr>
          <w:b/>
          <w:i/>
          <w:sz w:val="28"/>
          <w:szCs w:val="28"/>
        </w:rPr>
      </w:pPr>
    </w:p>
    <w:p w14:paraId="24BA8311" w14:textId="6BECF5CA" w:rsidR="006A0915" w:rsidRDefault="00374F58">
      <w:pPr>
        <w:ind w:left="-284" w:right="251"/>
        <w:rPr>
          <w:noProof/>
        </w:rPr>
      </w:pPr>
      <w:r w:rsidRPr="009A1D22">
        <w:rPr>
          <w:rFonts w:ascii="LatienneTCE-Medi" w:eastAsia="LatienneTCE-Medi" w:hAnsi="LatienneTCE-Medi" w:cs="LatienneTCE-Medi"/>
          <w:b/>
          <w:bCs/>
          <w:i/>
          <w:color w:val="0070C0"/>
        </w:rPr>
        <w:t xml:space="preserve">        </w:t>
      </w:r>
      <w:r w:rsidRPr="009A1D22">
        <w:rPr>
          <w:rFonts w:ascii="LatienneTCE-Medi" w:hAnsi="LatienneTCE-Medi" w:cs="LatienneTCE-Medi"/>
          <w:b/>
          <w:bCs/>
          <w:i/>
          <w:color w:val="0070C0"/>
        </w:rPr>
        <w:t xml:space="preserve">Sponzori </w:t>
      </w:r>
      <w:r w:rsidR="00843727">
        <w:rPr>
          <w:rFonts w:ascii="LatienneTCE-Medi" w:hAnsi="LatienneTCE-Medi" w:cs="LatienneTCE-Medi"/>
          <w:b/>
          <w:bCs/>
          <w:i/>
          <w:color w:val="0070C0"/>
        </w:rPr>
        <w:t>:</w:t>
      </w:r>
      <w:r w:rsidR="00F86349" w:rsidRPr="00F86349">
        <w:rPr>
          <w:rFonts w:ascii="LatienneTCE-Medi" w:hAnsi="LatienneTCE-Medi" w:cs="LatienneTCE-Medi"/>
          <w:i/>
          <w:noProof/>
          <w:color w:val="0070C0"/>
          <w:sz w:val="22"/>
          <w:szCs w:val="22"/>
          <w:lang w:eastAsia="sk-SK"/>
        </w:rPr>
        <w:t xml:space="preserve"> </w:t>
      </w:r>
      <w:r w:rsidR="006A0915">
        <w:rPr>
          <w:rFonts w:ascii="LatienneTCE-Medi" w:hAnsi="LatienneTCE-Medi" w:cs="LatienneTCE-Medi"/>
          <w:i/>
          <w:noProof/>
          <w:color w:val="0070C0"/>
          <w:sz w:val="22"/>
          <w:szCs w:val="22"/>
          <w:lang w:eastAsia="sk-SK"/>
        </w:rPr>
        <w:t xml:space="preserve">  </w:t>
      </w:r>
    </w:p>
    <w:p w14:paraId="1DE8DD66" w14:textId="74C311D2" w:rsidR="00843727" w:rsidRPr="006A0915" w:rsidRDefault="006A0915" w:rsidP="006A0915">
      <w:pPr>
        <w:ind w:left="-284" w:right="251"/>
        <w:jc w:val="center"/>
        <w:rPr>
          <w:noProof/>
        </w:rPr>
      </w:pPr>
      <w:r>
        <w:rPr>
          <w:noProof/>
        </w:rPr>
        <w:drawing>
          <wp:inline distT="0" distB="0" distL="0" distR="0" wp14:anchorId="022BF056" wp14:editId="6C2DE6E1">
            <wp:extent cx="1043940" cy="736600"/>
            <wp:effectExtent l="0" t="0" r="0" b="0"/>
            <wp:docPr id="737148348" name="Obrázok 1" descr="Obrázok, na ktorom je grafika, logo, grafický dizajn, ľudská tvá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00570" name="Obrázok 1" descr="Obrázok, na ktorom je grafika, logo, grafický dizajn, ľudská tvá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4" cy="79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ienneTCE-Medi" w:hAnsi="LatienneTCE-Medi" w:cs="LatienneTCE-Medi"/>
          <w:i/>
          <w:noProof/>
          <w:color w:val="0070C0"/>
          <w:sz w:val="22"/>
          <w:szCs w:val="22"/>
          <w:lang w:eastAsia="sk-SK"/>
        </w:rPr>
        <w:drawing>
          <wp:inline distT="0" distB="0" distL="0" distR="0" wp14:anchorId="5EE9A7B7" wp14:editId="44D4088C">
            <wp:extent cx="990600" cy="480060"/>
            <wp:effectExtent l="0" t="0" r="0" b="0"/>
            <wp:docPr id="1520118357" name="Obrázok 1520118357" descr="Obrázok, na ktorom je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4BBCA" w14:textId="556D3D99" w:rsidR="00843727" w:rsidRDefault="005A2CAA" w:rsidP="005A2CAA">
      <w:pPr>
        <w:ind w:left="-284" w:right="251"/>
        <w:jc w:val="center"/>
        <w:rPr>
          <w:rFonts w:ascii="LatienneTCE-Medi" w:hAnsi="LatienneTCE-Medi" w:cs="LatienneTCE-Medi"/>
          <w:b/>
          <w:bCs/>
          <w:i/>
          <w:color w:val="0070C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AD9D233" wp14:editId="53741FCF">
            <wp:simplePos x="0" y="0"/>
            <wp:positionH relativeFrom="column">
              <wp:posOffset>2324100</wp:posOffset>
            </wp:positionH>
            <wp:positionV relativeFrom="paragraph">
              <wp:posOffset>6985</wp:posOffset>
            </wp:positionV>
            <wp:extent cx="680085" cy="438785"/>
            <wp:effectExtent l="0" t="0" r="0" b="0"/>
            <wp:wrapNone/>
            <wp:docPr id="14" name="Obrázok 4" descr="Obrázok, na ktorom je text, logo, písmo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4" descr="Obrázok, na ktorom je text, logo, písmo, grafi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914C0" w14:textId="77777777" w:rsidR="00843727" w:rsidRDefault="00843727">
      <w:pPr>
        <w:ind w:left="-284" w:right="251"/>
        <w:rPr>
          <w:rFonts w:ascii="LatienneTCE-Medi" w:hAnsi="LatienneTCE-Medi" w:cs="LatienneTCE-Medi"/>
          <w:b/>
          <w:bCs/>
          <w:i/>
          <w:color w:val="0070C0"/>
        </w:rPr>
      </w:pPr>
    </w:p>
    <w:p w14:paraId="032B11FA" w14:textId="746ED853" w:rsidR="00843727" w:rsidRDefault="00843727">
      <w:pPr>
        <w:ind w:left="-284" w:right="251"/>
        <w:rPr>
          <w:rFonts w:ascii="LatienneTCE-Medi" w:hAnsi="LatienneTCE-Medi" w:cs="LatienneTCE-Medi"/>
          <w:b/>
          <w:bCs/>
          <w:i/>
          <w:color w:val="0070C0"/>
        </w:rPr>
      </w:pPr>
      <w:r>
        <w:rPr>
          <w:rFonts w:ascii="LatienneTCE-Medi" w:hAnsi="LatienneTCE-Medi" w:cs="LatienneTCE-Medi"/>
          <w:b/>
          <w:bCs/>
          <w:i/>
          <w:color w:val="0070C0"/>
        </w:rPr>
        <w:t xml:space="preserve">       </w:t>
      </w:r>
      <w:r w:rsidR="00004C68">
        <w:rPr>
          <w:noProof/>
        </w:rPr>
        <w:drawing>
          <wp:inline distT="0" distB="0" distL="0" distR="0" wp14:anchorId="4F037525" wp14:editId="52B1E65B">
            <wp:extent cx="959485" cy="594360"/>
            <wp:effectExtent l="0" t="0" r="0" b="0"/>
            <wp:docPr id="2134321403" name="Obrázok 1" descr="Vysokošpecializovaný odborný ústav geriatrický sv. Lukáša v Košici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ošpecializovaný odborný ústav geriatrický sv. Lukáša v Košicia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53" cy="60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908" w:rsidRPr="00D55908">
        <w:t xml:space="preserve"> </w:t>
      </w:r>
      <w:r w:rsidR="00D55908">
        <w:rPr>
          <w:noProof/>
        </w:rPr>
        <w:drawing>
          <wp:inline distT="0" distB="0" distL="0" distR="0" wp14:anchorId="6ECC4F3B" wp14:editId="498E2FFB">
            <wp:extent cx="800100" cy="596606"/>
            <wp:effectExtent l="0" t="0" r="0" b="0"/>
            <wp:docPr id="1885716060" name="Obrázok 3" descr="Novinky - DISPOMED, s r. 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inky - DISPOMED, s r. 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71" cy="60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4855" w14:textId="60FD926F" w:rsidR="00843727" w:rsidRDefault="00843727" w:rsidP="005A2CAA">
      <w:pPr>
        <w:ind w:left="-284" w:right="251"/>
        <w:jc w:val="right"/>
        <w:rPr>
          <w:rFonts w:ascii="LatienneTCE-Medi" w:hAnsi="LatienneTCE-Medi" w:cs="LatienneTCE-Medi"/>
          <w:b/>
          <w:bCs/>
          <w:i/>
          <w:color w:val="0070C0"/>
        </w:rPr>
      </w:pPr>
    </w:p>
    <w:p w14:paraId="08623431" w14:textId="35A8974E" w:rsidR="00E71AF9" w:rsidRPr="00376D0F" w:rsidRDefault="00843727" w:rsidP="00376D0F">
      <w:pPr>
        <w:ind w:left="-284" w:right="251"/>
        <w:rPr>
          <w:rFonts w:ascii="LatienneTCE-Medi" w:hAnsi="LatienneTCE-Medi" w:cs="LatienneTCE-Medi"/>
          <w:iCs/>
        </w:rPr>
      </w:pPr>
      <w:r>
        <w:rPr>
          <w:rFonts w:ascii="LatienneTCE-Medi" w:hAnsi="LatienneTCE-Medi" w:cs="LatienneTCE-Medi"/>
          <w:b/>
          <w:bCs/>
          <w:i/>
          <w:color w:val="0070C0"/>
        </w:rPr>
        <w:t xml:space="preserve">     </w:t>
      </w:r>
      <w:r w:rsidR="00E71AF9">
        <w:rPr>
          <w:rFonts w:ascii="LatienneTCE-Medi" w:hAnsi="LatienneTCE-Medi" w:cs="LatienneTCE-Medi"/>
          <w:b/>
          <w:bCs/>
          <w:i/>
          <w:color w:val="0070C0"/>
        </w:rPr>
        <w:t xml:space="preserve"> </w:t>
      </w:r>
      <w:r>
        <w:rPr>
          <w:rFonts w:ascii="LatienneTCE-Medi" w:hAnsi="LatienneTCE-Medi" w:cs="LatienneTCE-Medi"/>
          <w:b/>
          <w:bCs/>
          <w:i/>
          <w:color w:val="0070C0"/>
        </w:rPr>
        <w:t xml:space="preserve"> </w:t>
      </w:r>
      <w:r w:rsidR="009F0AB2">
        <w:rPr>
          <w:rFonts w:ascii="LatienneTCE-Medi" w:hAnsi="LatienneTCE-Medi" w:cs="LatienneTCE-Medi"/>
          <w:b/>
          <w:bCs/>
          <w:i/>
          <w:color w:val="0070C0"/>
        </w:rPr>
        <w:t xml:space="preserve"> </w:t>
      </w:r>
      <w:r w:rsidR="009B6810">
        <w:rPr>
          <w:rFonts w:ascii="LatienneTCE-Medi" w:hAnsi="LatienneTCE-Medi" w:cs="LatienneTCE-Medi"/>
          <w:iCs/>
        </w:rPr>
        <w:t xml:space="preserve"> </w:t>
      </w:r>
      <w:r w:rsidR="009B6810" w:rsidRPr="009B6810">
        <w:rPr>
          <w:rFonts w:ascii="LatienneTCE-Medi" w:hAnsi="LatienneTCE-Medi" w:cs="LatienneTCE-Medi"/>
          <w:i/>
        </w:rPr>
        <w:t>Železničné zdravotníctvo</w:t>
      </w:r>
      <w:r w:rsidR="009B6810">
        <w:rPr>
          <w:rFonts w:ascii="LatienneTCE-Medi" w:hAnsi="LatienneTCE-Medi" w:cs="LatienneTCE-Medi"/>
          <w:i/>
        </w:rPr>
        <w:t xml:space="preserve"> Košice, </w:t>
      </w:r>
      <w:proofErr w:type="spellStart"/>
      <w:r w:rsidR="009B6810">
        <w:rPr>
          <w:rFonts w:ascii="LatienneTCE-Medi" w:hAnsi="LatienneTCE-Medi" w:cs="LatienneTCE-Medi"/>
          <w:i/>
        </w:rPr>
        <w:t>s.r.o</w:t>
      </w:r>
      <w:proofErr w:type="spellEnd"/>
      <w:r w:rsidR="009B6810">
        <w:rPr>
          <w:rFonts w:ascii="LatienneTCE-Medi" w:hAnsi="LatienneTCE-Medi" w:cs="LatienneTCE-Medi"/>
          <w:i/>
        </w:rPr>
        <w:t>.</w:t>
      </w:r>
    </w:p>
    <w:p w14:paraId="5AC4D1D7" w14:textId="611AD2CE" w:rsidR="00843727" w:rsidRPr="006A0915" w:rsidRDefault="00F86349" w:rsidP="006A0915">
      <w:pPr>
        <w:ind w:left="-284" w:right="251"/>
        <w:jc w:val="center"/>
        <w:rPr>
          <w:rFonts w:ascii="LatienneTCE-Medi" w:hAnsi="LatienneTCE-Medi" w:cs="LatienneTCE-Medi"/>
          <w:iCs/>
        </w:rPr>
      </w:pPr>
      <w:r>
        <w:rPr>
          <w:noProof/>
          <w:lang w:eastAsia="sk-SK"/>
        </w:rPr>
        <w:drawing>
          <wp:inline distT="0" distB="0" distL="0" distR="0" wp14:anchorId="0DD27E5C" wp14:editId="15EACFAD">
            <wp:extent cx="885825" cy="333375"/>
            <wp:effectExtent l="0" t="0" r="0" b="0"/>
            <wp:docPr id="7" name="Obrázok 7" descr="Obrázok, na ktorom je text, symbol, písmo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 descr="Obrázok, na ktorom je text, symbol, písmo,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B548B5" wp14:editId="5A65DDE2">
            <wp:extent cx="914400" cy="914400"/>
            <wp:effectExtent l="0" t="0" r="0" b="0"/>
            <wp:docPr id="214648995" name="Obrázok 2" descr="Obrázok, na ktorom je písmo, text, biely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8995" name="Obrázok 2" descr="Obrázok, na ktorom je písmo, text, biely, grafi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AA325" w14:textId="1584E66C" w:rsidR="00843727" w:rsidRPr="009A1D22" w:rsidRDefault="009F0AB2" w:rsidP="005A2CAA">
      <w:pPr>
        <w:ind w:left="-284" w:right="251"/>
        <w:jc w:val="right"/>
        <w:rPr>
          <w:rFonts w:ascii="LatienneTCE-Medi" w:hAnsi="LatienneTCE-Medi" w:cs="LatienneTCE-Medi"/>
          <w:bCs/>
          <w:i/>
          <w:color w:val="0070C0"/>
        </w:rPr>
      </w:pPr>
      <w:r>
        <w:rPr>
          <w:noProof/>
          <w:lang w:eastAsia="sk-SK"/>
        </w:rPr>
        <w:drawing>
          <wp:inline distT="0" distB="0" distL="0" distR="0" wp14:anchorId="4A3D3A8B" wp14:editId="094542D1">
            <wp:extent cx="457200" cy="400050"/>
            <wp:effectExtent l="0" t="0" r="0" b="0"/>
            <wp:docPr id="1955572521" name="Obrázok 1955572521" descr="Obrázok, na ktorom je grafika, symbol, dizajn, um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grafika, symbol, dizajn, umen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D98D" w14:textId="3E908176" w:rsidR="00374F58" w:rsidRDefault="009F0AB2">
      <w:pPr>
        <w:rPr>
          <w:rFonts w:ascii="LatienneTCE-Medi" w:hAnsi="LatienneTCE-Medi" w:cs="LatienneTCE-Medi"/>
          <w:bCs/>
          <w:i/>
          <w:color w:val="0070C0"/>
          <w:sz w:val="22"/>
          <w:szCs w:val="22"/>
        </w:rPr>
      </w:pPr>
      <w:r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                           </w:t>
      </w:r>
      <w:r w:rsidR="005A2CAA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                     </w:t>
      </w:r>
      <w:r w:rsidR="00376D0F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             </w:t>
      </w:r>
      <w:r w:rsidR="005A2CAA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</w:t>
      </w:r>
      <w:r w:rsidR="00F86349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>DFN</w:t>
      </w:r>
      <w:r w:rsidR="005A2CAA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         </w:t>
      </w:r>
      <w:r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</w:t>
      </w:r>
    </w:p>
    <w:p w14:paraId="48A1BB75" w14:textId="5C4B3B63" w:rsidR="00374F58" w:rsidRDefault="00374F58" w:rsidP="005A2CAA">
      <w:pPr>
        <w:jc w:val="right"/>
        <w:rPr>
          <w:rFonts w:cs="Times New Roman"/>
          <w:b/>
          <w:color w:val="002060"/>
        </w:rPr>
      </w:pPr>
    </w:p>
    <w:p w14:paraId="69C8F980" w14:textId="61322193" w:rsidR="00374F58" w:rsidRDefault="00035EB7">
      <w:pPr>
        <w:jc w:val="center"/>
      </w:pPr>
      <w:r>
        <w:rPr>
          <w:noProof/>
        </w:rPr>
        <w:drawing>
          <wp:inline distT="0" distB="0" distL="0" distR="0" wp14:anchorId="7EEF3ACD" wp14:editId="2BFA56D4">
            <wp:extent cx="1348740" cy="259080"/>
            <wp:effectExtent l="0" t="0" r="3810" b="7620"/>
            <wp:docPr id="20707261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B8FD0" w14:textId="05DEFB8D" w:rsidR="009A1D22" w:rsidRDefault="00F86349" w:rsidP="00376D0F">
      <w:pPr>
        <w:jc w:val="center"/>
        <w:rPr>
          <w:rFonts w:ascii="LatienneTCE-Medi" w:hAnsi="LatienneTCE-Medi" w:cs="LatienneTCE-Medi"/>
          <w:bCs/>
          <w:i/>
          <w:color w:val="0070C0"/>
          <w:sz w:val="22"/>
          <w:szCs w:val="22"/>
        </w:rPr>
      </w:pPr>
      <w:r>
        <w:rPr>
          <w:rFonts w:ascii="LatienneTCE-Medi" w:hAnsi="LatienneTCE-Medi" w:cs="LatienneTCE-Medi"/>
          <w:i/>
          <w:noProof/>
          <w:color w:val="0070C0"/>
          <w:sz w:val="22"/>
          <w:szCs w:val="22"/>
          <w:lang w:eastAsia="sk-SK"/>
        </w:rPr>
        <w:drawing>
          <wp:inline distT="0" distB="0" distL="0" distR="0" wp14:anchorId="5E41978D" wp14:editId="41795DBF">
            <wp:extent cx="1203960" cy="533400"/>
            <wp:effectExtent l="0" t="0" r="0" b="0"/>
            <wp:docPr id="8" name="Obrázok 8" descr="Obrázok, na ktorom je text, písmo, logo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 descr="Obrázok, na ktorom je text, písmo, logo, symbo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20" cy="539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AB2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                        </w:t>
      </w:r>
      <w:r w:rsidR="006A0915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                         </w:t>
      </w:r>
      <w:r w:rsidR="00376D0F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                             </w:t>
      </w:r>
      <w:r w:rsidR="00376D0F">
        <w:rPr>
          <w:rFonts w:ascii="LatienneTCE-Medi" w:hAnsi="LatienneTCE-Medi" w:cs="LatienneTCE-Medi"/>
          <w:b/>
          <w:bCs/>
          <w:i/>
          <w:noProof/>
          <w:color w:val="0070C0"/>
        </w:rPr>
        <w:drawing>
          <wp:inline distT="0" distB="0" distL="0" distR="0" wp14:anchorId="420EE86B" wp14:editId="50F7211E">
            <wp:extent cx="1043305" cy="309245"/>
            <wp:effectExtent l="0" t="0" r="4445" b="0"/>
            <wp:docPr id="1409254863" name="Obrázok 4" descr="Obrázok, na ktorom je písmo, text, logo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254863" name="Obrázok 4" descr="Obrázok, na ktorom je písmo, text, logo, symbo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06" cy="3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0F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               </w:t>
      </w:r>
      <w:r w:rsidR="00376D0F">
        <w:rPr>
          <w:noProof/>
        </w:rPr>
        <w:drawing>
          <wp:inline distT="0" distB="0" distL="0" distR="0" wp14:anchorId="749CF6E7" wp14:editId="44B8F155">
            <wp:extent cx="883920" cy="777240"/>
            <wp:effectExtent l="0" t="0" r="0" b="3810"/>
            <wp:docPr id="2022386693" name="Obrázok 1" descr="Beznoska s.r.o.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noska s.r.o. | LinkedI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0F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</w:t>
      </w:r>
      <w:r w:rsidR="00376D0F">
        <w:rPr>
          <w:noProof/>
        </w:rPr>
        <w:drawing>
          <wp:inline distT="0" distB="0" distL="0" distR="0" wp14:anchorId="05825C23" wp14:editId="2148F324">
            <wp:extent cx="1203325" cy="441960"/>
            <wp:effectExtent l="0" t="0" r="0" b="0"/>
            <wp:docPr id="1723161765" name="Obrázok 2" descr="TIMED prechádza na elektronické objednávanie cez ADC Číselník - ADC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ED prechádza na elektronické objednávanie cez ADC Číselník - ADC.s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0F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                </w:t>
      </w:r>
    </w:p>
    <w:p w14:paraId="1F26F8F1" w14:textId="2DD57F63" w:rsidR="00374F58" w:rsidRDefault="009A1D22" w:rsidP="00F86349">
      <w:pPr>
        <w:jc w:val="center"/>
        <w:rPr>
          <w:rFonts w:ascii="LatienneTCE-Medi" w:hAnsi="LatienneTCE-Medi" w:cs="LatienneTCE-Medi"/>
          <w:bCs/>
          <w:i/>
          <w:color w:val="0070C0"/>
          <w:sz w:val="22"/>
          <w:szCs w:val="22"/>
        </w:rPr>
      </w:pPr>
      <w:r>
        <w:rPr>
          <w:rFonts w:ascii="LatienneTCE-Medi" w:eastAsia="LatienneTCE-Medi" w:hAnsi="LatienneTCE-Medi" w:cs="LatienneTCE-Medi"/>
          <w:bCs/>
          <w:i/>
          <w:color w:val="0070C0"/>
          <w:sz w:val="22"/>
          <w:szCs w:val="22"/>
        </w:rPr>
        <w:t xml:space="preserve">         </w:t>
      </w:r>
      <w:r w:rsidR="00374F58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    </w:t>
      </w:r>
      <w:r w:rsidR="00374F58">
        <w:rPr>
          <w:rFonts w:ascii="LatienneTCE-Medi" w:eastAsia="LatienneTCE-Medi" w:hAnsi="LatienneTCE-Medi" w:cs="LatienneTCE-Medi"/>
          <w:bCs/>
          <w:i/>
          <w:color w:val="0070C0"/>
          <w:sz w:val="22"/>
          <w:szCs w:val="22"/>
        </w:rPr>
        <w:t xml:space="preserve">                                   </w:t>
      </w:r>
    </w:p>
    <w:p w14:paraId="46D9BC22" w14:textId="0E62503B" w:rsidR="00E17EB8" w:rsidRPr="00E17EB8" w:rsidRDefault="00E17EB8" w:rsidP="00E17EB8">
      <w:pPr>
        <w:jc w:val="center"/>
        <w:rPr>
          <w:rFonts w:ascii="LatienneTCE-Medi" w:hAnsi="LatienneTCE-Medi" w:cs="LatienneTCE-Medi"/>
          <w:bCs/>
          <w:i/>
          <w:color w:val="000000" w:themeColor="text1"/>
          <w:sz w:val="22"/>
          <w:szCs w:val="22"/>
        </w:rPr>
      </w:pPr>
      <w:r w:rsidRPr="00E17EB8">
        <w:rPr>
          <w:rFonts w:ascii="LatienneTCE-Medi" w:hAnsi="LatienneTCE-Medi" w:cs="LatienneTCE-Medi"/>
          <w:bCs/>
          <w:i/>
          <w:color w:val="000000" w:themeColor="text1"/>
          <w:sz w:val="22"/>
          <w:szCs w:val="22"/>
        </w:rPr>
        <w:t>Regionálna komora sestier a pôrodných asistentiek Košice I a Košice II</w:t>
      </w:r>
    </w:p>
    <w:p w14:paraId="4108FB2B" w14:textId="77777777" w:rsidR="00E17EB8" w:rsidRDefault="00E17EB8" w:rsidP="00E71AF9">
      <w:pPr>
        <w:rPr>
          <w:rFonts w:ascii="LatienneTCE-Medi" w:hAnsi="LatienneTCE-Medi" w:cs="LatienneTCE-Medi"/>
          <w:bCs/>
          <w:i/>
          <w:color w:val="0070C0"/>
          <w:sz w:val="22"/>
          <w:szCs w:val="22"/>
        </w:rPr>
      </w:pPr>
    </w:p>
    <w:p w14:paraId="3729B283" w14:textId="77777777" w:rsidR="00E17EB8" w:rsidRDefault="00E17EB8" w:rsidP="00E71AF9">
      <w:pPr>
        <w:rPr>
          <w:rFonts w:ascii="LatienneTCE-Medi" w:hAnsi="LatienneTCE-Medi" w:cs="LatienneTCE-Medi"/>
          <w:bCs/>
          <w:i/>
          <w:color w:val="0070C0"/>
          <w:sz w:val="22"/>
          <w:szCs w:val="22"/>
        </w:rPr>
      </w:pPr>
    </w:p>
    <w:p w14:paraId="27E6F408" w14:textId="3F0CB6BB" w:rsidR="00374F58" w:rsidRPr="006543C1" w:rsidRDefault="00E17EB8">
      <w:pPr>
        <w:rPr>
          <w:rFonts w:ascii="LatienneTCE-Medi" w:hAnsi="LatienneTCE-Medi" w:cs="LatienneTCE-Medi"/>
          <w:b/>
          <w:bCs/>
          <w:i/>
          <w:color w:val="0070C0"/>
          <w:sz w:val="22"/>
          <w:szCs w:val="22"/>
        </w:rPr>
      </w:pPr>
      <w:r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                                                            </w:t>
      </w:r>
      <w:r w:rsidR="00E71AF9">
        <w:rPr>
          <w:rFonts w:ascii="LatienneTCE-Medi" w:hAnsi="LatienneTCE-Medi" w:cs="LatienneTCE-Medi"/>
          <w:bCs/>
          <w:i/>
          <w:color w:val="0070C0"/>
          <w:sz w:val="22"/>
          <w:szCs w:val="22"/>
        </w:rPr>
        <w:t xml:space="preserve"> </w:t>
      </w:r>
      <w:r w:rsidR="00E71AF9">
        <w:rPr>
          <w:rFonts w:ascii="LatienneTCE-Medi" w:hAnsi="LatienneTCE-Medi" w:cs="LatienneTCE-Medi"/>
          <w:b/>
          <w:bCs/>
          <w:i/>
          <w:color w:val="0070C0"/>
          <w:sz w:val="22"/>
          <w:szCs w:val="22"/>
        </w:rPr>
        <w:t>Ďakujeme</w:t>
      </w:r>
      <w:r w:rsidR="00374F58">
        <w:rPr>
          <w:rFonts w:ascii="LatienneTCE-Medi" w:eastAsia="LatienneTCE-Medi" w:hAnsi="LatienneTCE-Medi" w:cs="LatienneTCE-Medi"/>
          <w:b/>
          <w:bCs/>
          <w:i/>
          <w:color w:val="002060"/>
          <w:sz w:val="22"/>
          <w:szCs w:val="22"/>
        </w:rPr>
        <w:t xml:space="preserve"> </w:t>
      </w:r>
      <w:r w:rsidR="00374F58">
        <w:rPr>
          <w:rFonts w:cs="Times New Roman"/>
        </w:rPr>
        <w:t xml:space="preserve">   </w:t>
      </w:r>
    </w:p>
    <w:p w14:paraId="622C8FB3" w14:textId="2D79FA81" w:rsidR="00374F58" w:rsidRDefault="00374F58">
      <w:pPr>
        <w:rPr>
          <w:rFonts w:ascii="LatienneTCE-Medi" w:eastAsia="LatienneTCE-Medi" w:hAnsi="LatienneTCE-Medi" w:cs="LatienneTCE-Medi"/>
          <w:bCs/>
          <w:i/>
          <w:color w:val="0070C0"/>
          <w:sz w:val="22"/>
          <w:szCs w:val="22"/>
        </w:rPr>
      </w:pPr>
      <w:r>
        <w:rPr>
          <w:rFonts w:ascii="LatienneTCE-Medi" w:eastAsia="LatienneTCE-Medi" w:hAnsi="LatienneTCE-Medi" w:cs="LatienneTCE-Medi"/>
          <w:b/>
          <w:bCs/>
          <w:i/>
          <w:color w:val="002060"/>
          <w:sz w:val="22"/>
          <w:szCs w:val="22"/>
        </w:rPr>
        <w:t xml:space="preserve">       </w:t>
      </w:r>
    </w:p>
    <w:p w14:paraId="5EC4FB5D" w14:textId="77777777" w:rsidR="009B6810" w:rsidRDefault="009B6810" w:rsidP="009F0AB2">
      <w:pPr>
        <w:jc w:val="center"/>
        <w:rPr>
          <w:rFonts w:ascii="LatienneTCE-Medi" w:hAnsi="LatienneTCE-Medi" w:cs="LatienneTCE-Medi"/>
          <w:color w:val="0070C0"/>
          <w:sz w:val="22"/>
          <w:szCs w:val="22"/>
          <w:lang w:eastAsia="sk-SK"/>
        </w:rPr>
      </w:pPr>
    </w:p>
    <w:p w14:paraId="459D4194" w14:textId="3EEB2A5D" w:rsidR="00374F58" w:rsidRPr="009F0AB2" w:rsidRDefault="00374F58" w:rsidP="009F0AB2">
      <w:pPr>
        <w:jc w:val="center"/>
        <w:rPr>
          <w:rFonts w:ascii="LatienneTCE-Medi" w:eastAsia="LatienneTCE-Medi" w:hAnsi="LatienneTCE-Medi" w:cs="LatienneTCE-Medi"/>
          <w:bCs/>
          <w:i/>
          <w:color w:val="0070C0"/>
          <w:sz w:val="22"/>
          <w:szCs w:val="22"/>
        </w:rPr>
      </w:pPr>
      <w:r>
        <w:rPr>
          <w:rFonts w:ascii="LatienneTCE-Medi" w:hAnsi="LatienneTCE-Medi" w:cs="LatienneTCE-Medi"/>
          <w:color w:val="0070C0"/>
          <w:sz w:val="22"/>
          <w:szCs w:val="22"/>
          <w:lang w:eastAsia="sk-SK"/>
        </w:rPr>
        <w:t>SLOVENSKÁ KOMORA SESTIER                               A PÔRODNÝCH ASISTENTIEK</w:t>
      </w:r>
    </w:p>
    <w:p w14:paraId="3CE99AA4" w14:textId="77777777" w:rsidR="00374F58" w:rsidRDefault="00374F58" w:rsidP="009F0AB2">
      <w:pPr>
        <w:suppressAutoHyphens w:val="0"/>
        <w:autoSpaceDE w:val="0"/>
        <w:jc w:val="center"/>
        <w:rPr>
          <w:rFonts w:ascii="LatienneTCE-Medi" w:hAnsi="LatienneTCE-Medi" w:cs="LatienneTCE-Medi"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color w:val="0070C0"/>
          <w:sz w:val="22"/>
          <w:szCs w:val="22"/>
          <w:lang w:eastAsia="sk-SK"/>
        </w:rPr>
        <w:t>REGIONÁLNA KOMORA</w:t>
      </w:r>
    </w:p>
    <w:p w14:paraId="68DE512E" w14:textId="77777777" w:rsidR="00374F58" w:rsidRDefault="00374F58">
      <w:pPr>
        <w:suppressAutoHyphens w:val="0"/>
        <w:autoSpaceDE w:val="0"/>
        <w:jc w:val="center"/>
        <w:rPr>
          <w:rFonts w:ascii="LatienneTCE-Medi" w:hAnsi="LatienneTCE-Medi" w:cs="LatienneTCE-Medi"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color w:val="0070C0"/>
          <w:sz w:val="22"/>
          <w:szCs w:val="22"/>
          <w:lang w:eastAsia="sk-SK"/>
        </w:rPr>
        <w:t>sestier a pôrodných asistentiek</w:t>
      </w:r>
    </w:p>
    <w:p w14:paraId="33DD361E" w14:textId="77777777" w:rsidR="00374F58" w:rsidRDefault="00374F58">
      <w:pPr>
        <w:suppressAutoHyphens w:val="0"/>
        <w:autoSpaceDE w:val="0"/>
        <w:jc w:val="center"/>
        <w:rPr>
          <w:rFonts w:ascii="LatienneTCE-Medi" w:hAnsi="LatienneTCE-Medi" w:cs="LatienneTCE-Medi"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color w:val="0070C0"/>
          <w:sz w:val="22"/>
          <w:szCs w:val="22"/>
          <w:lang w:eastAsia="sk-SK"/>
        </w:rPr>
        <w:t>Košice I a Košice II</w:t>
      </w:r>
    </w:p>
    <w:p w14:paraId="4871DFA9" w14:textId="77777777" w:rsidR="00374F58" w:rsidRDefault="00374F58">
      <w:pPr>
        <w:suppressAutoHyphens w:val="0"/>
        <w:autoSpaceDE w:val="0"/>
        <w:jc w:val="center"/>
        <w:rPr>
          <w:rFonts w:ascii="LatienneTCE-Medi" w:hAnsi="LatienneTCE-Medi" w:cs="LatienneTCE-Medi"/>
          <w:color w:val="0070C0"/>
          <w:sz w:val="22"/>
          <w:szCs w:val="22"/>
          <w:lang w:eastAsia="sk-SK"/>
        </w:rPr>
      </w:pPr>
    </w:p>
    <w:p w14:paraId="539E2A2A" w14:textId="3942C31B" w:rsidR="00374F58" w:rsidRDefault="00D10398">
      <w:pPr>
        <w:jc w:val="center"/>
        <w:rPr>
          <w:sz w:val="20"/>
          <w:szCs w:val="20"/>
        </w:rPr>
      </w:pPr>
      <w:r w:rsidRPr="00F20E56">
        <w:rPr>
          <w:b/>
          <w:noProof/>
          <w:sz w:val="28"/>
          <w:szCs w:val="28"/>
        </w:rPr>
        <w:drawing>
          <wp:inline distT="0" distB="0" distL="0" distR="0" wp14:anchorId="425F3D30" wp14:editId="4E8AFC6D">
            <wp:extent cx="876300" cy="337792"/>
            <wp:effectExtent l="0" t="0" r="0" b="5715"/>
            <wp:docPr id="1689028690" name="Obrázok 1" descr="C:\Users\RkSaPAKE2\Downloads\Logo SKS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RkSaPAKE2\Downloads\Logo SKSaP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88" cy="34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69F1" w14:textId="77777777" w:rsidR="00374F58" w:rsidRDefault="00374F58">
      <w:pPr>
        <w:rPr>
          <w:sz w:val="20"/>
          <w:szCs w:val="20"/>
        </w:rPr>
      </w:pPr>
    </w:p>
    <w:p w14:paraId="0B2136D8" w14:textId="02D0FA3C" w:rsidR="00374F58" w:rsidRDefault="00E644EE">
      <w:pPr>
        <w:jc w:val="center"/>
        <w:rPr>
          <w:rFonts w:ascii="LatienneTCE-Medi" w:hAnsi="LatienneTCE-Medi" w:cs="LatienneTCE-Medi"/>
          <w:color w:val="0070C0"/>
          <w:sz w:val="20"/>
          <w:szCs w:val="20"/>
        </w:rPr>
      </w:pPr>
      <w:r>
        <w:rPr>
          <w:rFonts w:ascii="LatienneTCE-Medi" w:hAnsi="LatienneTCE-Medi" w:cs="LatienneTCE-Medi"/>
          <w:color w:val="0070C0"/>
          <w:sz w:val="20"/>
          <w:szCs w:val="20"/>
        </w:rPr>
        <w:t>u</w:t>
      </w:r>
      <w:r w:rsidR="00374F58">
        <w:rPr>
          <w:rFonts w:ascii="LatienneTCE-Medi" w:hAnsi="LatienneTCE-Medi" w:cs="LatienneTCE-Medi"/>
          <w:color w:val="0070C0"/>
          <w:sz w:val="20"/>
          <w:szCs w:val="20"/>
        </w:rPr>
        <w:t>sporiada</w:t>
      </w:r>
    </w:p>
    <w:p w14:paraId="22576185" w14:textId="717B89FB" w:rsidR="00E644EE" w:rsidRDefault="00E644EE">
      <w:pPr>
        <w:jc w:val="center"/>
        <w:rPr>
          <w:rFonts w:ascii="LatienneTCE-Medi" w:hAnsi="LatienneTCE-Medi" w:cs="LatienneTCE-Medi"/>
          <w:color w:val="0070C0"/>
          <w:sz w:val="20"/>
          <w:szCs w:val="20"/>
        </w:rPr>
      </w:pPr>
      <w:r>
        <w:rPr>
          <w:rFonts w:ascii="LatienneTCE-Medi" w:hAnsi="LatienneTCE-Medi" w:cs="LatienneTCE-Medi"/>
          <w:color w:val="0070C0"/>
          <w:sz w:val="20"/>
          <w:szCs w:val="20"/>
        </w:rPr>
        <w:t>pri príležitosti Medzinárodného dňa sestier</w:t>
      </w:r>
    </w:p>
    <w:p w14:paraId="513ACE24" w14:textId="2B7328C3" w:rsidR="00843727" w:rsidRDefault="00E71AF9">
      <w:pPr>
        <w:jc w:val="center"/>
        <w:rPr>
          <w:rFonts w:ascii="LatienneTCE-Medi" w:hAnsi="LatienneTCE-Medi" w:cs="LatienneTCE-Medi"/>
          <w:sz w:val="20"/>
          <w:szCs w:val="20"/>
        </w:rPr>
      </w:pPr>
      <w:r>
        <w:rPr>
          <w:b/>
        </w:rPr>
        <w:t>odborný  seminár</w:t>
      </w:r>
    </w:p>
    <w:p w14:paraId="2AAC6224" w14:textId="77777777" w:rsidR="00E71AF9" w:rsidRDefault="00E71AF9">
      <w:pPr>
        <w:jc w:val="center"/>
        <w:rPr>
          <w:rFonts w:cs="Times New Roman"/>
          <w:color w:val="4472C4" w:themeColor="accent1"/>
          <w:sz w:val="28"/>
          <w:szCs w:val="28"/>
        </w:rPr>
      </w:pPr>
    </w:p>
    <w:p w14:paraId="367DAECB" w14:textId="1C123166" w:rsidR="00374F58" w:rsidRPr="00843727" w:rsidRDefault="00843727">
      <w:pPr>
        <w:jc w:val="center"/>
        <w:rPr>
          <w:rFonts w:cs="Times New Roman"/>
          <w:color w:val="4472C4" w:themeColor="accent1"/>
          <w:sz w:val="28"/>
          <w:szCs w:val="28"/>
        </w:rPr>
      </w:pPr>
      <w:r w:rsidRPr="00843727">
        <w:rPr>
          <w:rFonts w:cs="Times New Roman"/>
          <w:color w:val="4472C4" w:themeColor="accent1"/>
          <w:sz w:val="28"/>
          <w:szCs w:val="28"/>
        </w:rPr>
        <w:t>Košický deň sestier</w:t>
      </w:r>
    </w:p>
    <w:p w14:paraId="00D6EF8F" w14:textId="313EE032" w:rsidR="00374F58" w:rsidRDefault="00374F58" w:rsidP="00E71AF9">
      <w:pPr>
        <w:rPr>
          <w:b/>
        </w:rPr>
      </w:pPr>
    </w:p>
    <w:p w14:paraId="50B10489" w14:textId="7E548331" w:rsidR="00374F58" w:rsidRDefault="00BE4DDF">
      <w:pPr>
        <w:jc w:val="center"/>
        <w:rPr>
          <w:rFonts w:cs="Times New Roman"/>
          <w:b/>
        </w:rPr>
      </w:pPr>
      <w:r>
        <w:rPr>
          <w:b/>
        </w:rPr>
        <w:t>d</w:t>
      </w:r>
      <w:r w:rsidR="00374F58">
        <w:rPr>
          <w:b/>
        </w:rPr>
        <w:t>ňa</w:t>
      </w:r>
      <w:r>
        <w:rPr>
          <w:b/>
        </w:rPr>
        <w:t xml:space="preserve"> 17</w:t>
      </w:r>
      <w:r w:rsidR="00374F58">
        <w:rPr>
          <w:b/>
        </w:rPr>
        <w:t>. máj 20</w:t>
      </w:r>
      <w:r w:rsidR="006637A3">
        <w:rPr>
          <w:b/>
        </w:rPr>
        <w:t>2</w:t>
      </w:r>
      <w:r w:rsidR="00771B9D">
        <w:rPr>
          <w:b/>
        </w:rPr>
        <w:t>4</w:t>
      </w:r>
      <w:r w:rsidR="00374F58">
        <w:rPr>
          <w:b/>
        </w:rPr>
        <w:t xml:space="preserve">  o 09.00 hod</w:t>
      </w:r>
    </w:p>
    <w:p w14:paraId="3207CF77" w14:textId="77777777" w:rsidR="00374F58" w:rsidRDefault="00374F58">
      <w:pPr>
        <w:jc w:val="center"/>
      </w:pPr>
      <w:r>
        <w:rPr>
          <w:rFonts w:cs="Times New Roman"/>
          <w:b/>
        </w:rPr>
        <w:t xml:space="preserve"> </w:t>
      </w:r>
      <w:r>
        <w:rPr>
          <w:b/>
        </w:rPr>
        <w:t>Dom umenia,</w:t>
      </w:r>
      <w:r w:rsidR="009A1D22">
        <w:rPr>
          <w:b/>
        </w:rPr>
        <w:t xml:space="preserve"> </w:t>
      </w:r>
      <w:r>
        <w:rPr>
          <w:b/>
        </w:rPr>
        <w:t>Košice</w:t>
      </w:r>
    </w:p>
    <w:p w14:paraId="70AEE969" w14:textId="77777777" w:rsidR="00374F58" w:rsidRDefault="00374F58"/>
    <w:p w14:paraId="013D518B" w14:textId="77777777" w:rsidR="00374F58" w:rsidRDefault="00374F58">
      <w:pPr>
        <w:jc w:val="center"/>
        <w:rPr>
          <w:sz w:val="20"/>
          <w:szCs w:val="20"/>
        </w:rPr>
      </w:pPr>
    </w:p>
    <w:p w14:paraId="38B19EE4" w14:textId="3C474824" w:rsidR="00BD44FC" w:rsidRDefault="007C2314" w:rsidP="004175D0">
      <w:pPr>
        <w:jc w:val="center"/>
        <w:rPr>
          <w:rFonts w:ascii="LatienneTCE-Medi" w:eastAsia="LatienneTCE-Medi" w:hAnsi="LatienneTCE-Medi" w:cs="Arial"/>
          <w:bCs/>
          <w:sz w:val="22"/>
          <w:szCs w:val="22"/>
        </w:rPr>
      </w:pPr>
      <w:r>
        <w:rPr>
          <w:noProof/>
          <w:sz w:val="20"/>
          <w:szCs w:val="20"/>
          <w:lang w:eastAsia="sk-SK"/>
        </w:rPr>
        <w:drawing>
          <wp:inline distT="0" distB="0" distL="0" distR="0" wp14:anchorId="4B4F209D" wp14:editId="35A2FAE2">
            <wp:extent cx="1514475" cy="1314450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644D" w14:textId="77777777" w:rsidR="00BD44FC" w:rsidRDefault="00BD44FC" w:rsidP="009E2AC7">
      <w:pPr>
        <w:rPr>
          <w:rFonts w:ascii="LatienneTCE-Medi" w:eastAsia="LatienneTCE-Medi" w:hAnsi="LatienneTCE-Medi" w:cs="Arial"/>
          <w:bCs/>
          <w:sz w:val="22"/>
          <w:szCs w:val="22"/>
        </w:rPr>
      </w:pPr>
    </w:p>
    <w:p w14:paraId="68135307" w14:textId="77777777" w:rsidR="00B0656A" w:rsidRDefault="00B0656A" w:rsidP="00B0656A">
      <w:pPr>
        <w:jc w:val="center"/>
        <w:rPr>
          <w:rFonts w:ascii="LatienneTCE-Medi" w:hAnsi="LatienneTCE-Medi" w:cs="LatienneTCE-Medi"/>
          <w:b/>
          <w:i/>
          <w:color w:val="0070C0"/>
          <w:sz w:val="20"/>
          <w:szCs w:val="20"/>
        </w:rPr>
      </w:pPr>
      <w:r>
        <w:rPr>
          <w:rFonts w:ascii="LatienneTCE-Medi" w:hAnsi="LatienneTCE-Medi" w:cs="LatienneTCE-Medi"/>
          <w:b/>
          <w:i/>
          <w:color w:val="0070C0"/>
          <w:sz w:val="20"/>
          <w:szCs w:val="20"/>
        </w:rPr>
        <w:t>Téma:</w:t>
      </w:r>
    </w:p>
    <w:p w14:paraId="610A88DF" w14:textId="692A78A4" w:rsidR="00771B9D" w:rsidRPr="00771B9D" w:rsidRDefault="00771B9D" w:rsidP="00771B9D">
      <w:pPr>
        <w:jc w:val="center"/>
        <w:rPr>
          <w:rFonts w:ascii="LatienneTCE-Medi" w:hAnsi="LatienneTCE-Medi" w:cs="LatienneTCE-Medi"/>
          <w:b/>
          <w:i/>
          <w:color w:val="2E74B5" w:themeColor="accent5" w:themeShade="BF"/>
          <w:sz w:val="20"/>
          <w:szCs w:val="20"/>
        </w:rPr>
      </w:pPr>
      <w:r>
        <w:rPr>
          <w:b/>
          <w:color w:val="2E74B5" w:themeColor="accent5" w:themeShade="BF"/>
          <w:sz w:val="20"/>
          <w:szCs w:val="20"/>
        </w:rPr>
        <w:t>„</w:t>
      </w:r>
      <w:r w:rsidRPr="00771B9D">
        <w:rPr>
          <w:b/>
          <w:color w:val="2E74B5" w:themeColor="accent5" w:themeShade="BF"/>
          <w:sz w:val="20"/>
          <w:szCs w:val="20"/>
        </w:rPr>
        <w:t>Ekonomická sila starostlivosti. Investície                                do ošetrovateľstva prinášajú ekonomické  a spoločenské výhody“.</w:t>
      </w:r>
    </w:p>
    <w:p w14:paraId="6C31CFFD" w14:textId="77777777" w:rsidR="00771B9D" w:rsidRDefault="00771B9D" w:rsidP="00771B9D">
      <w:pPr>
        <w:jc w:val="center"/>
        <w:rPr>
          <w:rFonts w:ascii="LatienneTCE-Medi" w:hAnsi="LatienneTCE-Medi" w:cs="LatienneTCE-Medi"/>
          <w:b/>
          <w:i/>
          <w:color w:val="0070C0"/>
          <w:sz w:val="20"/>
          <w:szCs w:val="20"/>
        </w:rPr>
      </w:pPr>
    </w:p>
    <w:p w14:paraId="6C3746CD" w14:textId="77777777" w:rsidR="00B0656A" w:rsidRDefault="00B0656A" w:rsidP="00B0656A">
      <w:pPr>
        <w:jc w:val="center"/>
        <w:rPr>
          <w:rFonts w:ascii="LatienneTCE-Medi" w:hAnsi="LatienneTCE-Medi" w:cs="LatienneTCE-Medi"/>
          <w:b/>
          <w:i/>
          <w:color w:val="0070C0"/>
          <w:sz w:val="20"/>
          <w:szCs w:val="20"/>
        </w:rPr>
      </w:pPr>
    </w:p>
    <w:p w14:paraId="1FA4094E" w14:textId="1696FF59" w:rsidR="00B0656A" w:rsidRDefault="00B0656A" w:rsidP="00B0656A">
      <w:pPr>
        <w:jc w:val="center"/>
        <w:rPr>
          <w:b/>
          <w:bCs/>
          <w:sz w:val="22"/>
          <w:szCs w:val="22"/>
        </w:rPr>
      </w:pPr>
    </w:p>
    <w:p w14:paraId="7305BF4A" w14:textId="014F76B1" w:rsidR="00B0656A" w:rsidRDefault="00B0656A" w:rsidP="00B0656A">
      <w:pPr>
        <w:jc w:val="center"/>
        <w:rPr>
          <w:rFonts w:ascii="LatienneTCE-Medi" w:hAnsi="LatienneTCE-Medi" w:cs="LatienneTCE-Medi"/>
          <w:b/>
          <w:sz w:val="20"/>
          <w:szCs w:val="20"/>
        </w:rPr>
      </w:pPr>
    </w:p>
    <w:p w14:paraId="3E885E70" w14:textId="6AE1AF04" w:rsidR="00B0656A" w:rsidRDefault="00B0656A" w:rsidP="00B0656A">
      <w:pPr>
        <w:jc w:val="center"/>
        <w:rPr>
          <w:rFonts w:ascii="LatienneTCE-Medi" w:hAnsi="LatienneTCE-Medi" w:cs="LatienneTCE-Medi"/>
          <w:b/>
          <w:sz w:val="20"/>
          <w:szCs w:val="20"/>
        </w:rPr>
      </w:pPr>
    </w:p>
    <w:p w14:paraId="7BF99EC8" w14:textId="6F040E3B" w:rsidR="00BD44FC" w:rsidRDefault="009F0AB2" w:rsidP="00B0656A">
      <w:pPr>
        <w:jc w:val="center"/>
        <w:rPr>
          <w:rFonts w:ascii="LatienneTCE-Medi" w:eastAsia="LatienneTCE-Medi" w:hAnsi="LatienneTCE-Medi" w:cs="Arial"/>
          <w:bCs/>
          <w:sz w:val="22"/>
          <w:szCs w:val="22"/>
        </w:rPr>
      </w:pPr>
      <w:r>
        <w:rPr>
          <w:noProof/>
        </w:rPr>
        <w:drawing>
          <wp:anchor distT="0" distB="0" distL="0" distR="0" simplePos="0" relativeHeight="251665920" behindDoc="0" locked="0" layoutInCell="1" allowOverlap="1" wp14:anchorId="6A586640" wp14:editId="25DF7252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2511425" cy="760095"/>
            <wp:effectExtent l="0" t="0" r="3175" b="1905"/>
            <wp:wrapSquare wrapText="largest"/>
            <wp:docPr id="1907861124" name="Obrázok 1907861124" descr="Obrázok, na ktorom je text, písmo, logo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4107" name="Obrázok 74664107" descr="Obrázok, na ktorom je text, písmo, logo, grafi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D636E" w14:textId="2E9089A2" w:rsidR="007875CA" w:rsidRDefault="007875CA" w:rsidP="009E2AC7">
      <w:pPr>
        <w:rPr>
          <w:rFonts w:ascii="LatienneTCE-Medi" w:eastAsia="LatienneTCE-Medi" w:hAnsi="LatienneTCE-Medi" w:cs="Arial"/>
          <w:bCs/>
          <w:sz w:val="22"/>
          <w:szCs w:val="22"/>
        </w:rPr>
      </w:pPr>
    </w:p>
    <w:p w14:paraId="5D463C72" w14:textId="7C50A6F8" w:rsidR="009E2AC7" w:rsidRDefault="009E2AC7" w:rsidP="009E2AC7">
      <w:pPr>
        <w:ind w:left="720"/>
        <w:jc w:val="both"/>
        <w:rPr>
          <w:b/>
          <w:sz w:val="22"/>
          <w:szCs w:val="22"/>
        </w:rPr>
      </w:pPr>
    </w:p>
    <w:p w14:paraId="6A89BDA6" w14:textId="228997EE" w:rsidR="00374F58" w:rsidRDefault="009E2AC7" w:rsidP="009E2AC7">
      <w:pPr>
        <w:suppressAutoHyphens w:val="0"/>
        <w:rPr>
          <w:rFonts w:ascii="LatienneTCE-Medi" w:hAnsi="LatienneTCE-Medi" w:cs="Times New Roman"/>
          <w:b/>
          <w:color w:val="0070C0"/>
          <w:sz w:val="22"/>
          <w:szCs w:val="22"/>
          <w:lang w:eastAsia="sk-SK"/>
        </w:rPr>
      </w:pPr>
      <w:r>
        <w:rPr>
          <w:b/>
          <w:sz w:val="22"/>
          <w:szCs w:val="22"/>
        </w:rPr>
        <w:t xml:space="preserve"> </w:t>
      </w:r>
    </w:p>
    <w:p w14:paraId="6E3305CF" w14:textId="77777777" w:rsidR="00B0656A" w:rsidRDefault="00B0656A" w:rsidP="004175D0">
      <w:pPr>
        <w:rPr>
          <w:rFonts w:ascii="LatienneTCE-Med" w:hAnsi="LatienneTCE-Med" w:cs="LatienneTCE-Med"/>
          <w:b/>
          <w:color w:val="0070C0"/>
        </w:rPr>
      </w:pPr>
    </w:p>
    <w:p w14:paraId="6EF3B817" w14:textId="77777777" w:rsidR="009F0AB2" w:rsidRDefault="009F0AB2" w:rsidP="004175D0">
      <w:pPr>
        <w:rPr>
          <w:rFonts w:ascii="LatienneTCE-Med" w:hAnsi="LatienneTCE-Med" w:cs="LatienneTCE-Med"/>
          <w:b/>
          <w:color w:val="0070C0"/>
        </w:rPr>
      </w:pPr>
    </w:p>
    <w:p w14:paraId="33AE738B" w14:textId="77777777" w:rsidR="009F0AB2" w:rsidRDefault="009F0AB2" w:rsidP="004175D0">
      <w:pPr>
        <w:rPr>
          <w:rFonts w:ascii="LatienneTCE-Med" w:hAnsi="LatienneTCE-Med" w:cs="LatienneTCE-Med"/>
          <w:b/>
          <w:color w:val="0070C0"/>
        </w:rPr>
      </w:pPr>
    </w:p>
    <w:p w14:paraId="2200964E" w14:textId="77777777" w:rsidR="009F0AB2" w:rsidRDefault="009F0AB2" w:rsidP="004175D0">
      <w:pPr>
        <w:rPr>
          <w:rFonts w:ascii="LatienneTCE-Med" w:hAnsi="LatienneTCE-Med" w:cs="LatienneTCE-Med"/>
          <w:b/>
          <w:color w:val="0070C0"/>
        </w:rPr>
      </w:pPr>
    </w:p>
    <w:p w14:paraId="070C964C" w14:textId="77777777" w:rsidR="00E17EB8" w:rsidRDefault="00E17EB8" w:rsidP="004175D0">
      <w:pPr>
        <w:rPr>
          <w:rFonts w:ascii="LatienneTCE-Med" w:hAnsi="LatienneTCE-Med" w:cs="LatienneTCE-Med"/>
          <w:b/>
          <w:color w:val="0070C0"/>
        </w:rPr>
      </w:pPr>
    </w:p>
    <w:p w14:paraId="4B035421" w14:textId="46756972" w:rsidR="004175D0" w:rsidRPr="007875CA" w:rsidRDefault="004175D0" w:rsidP="004175D0">
      <w:pPr>
        <w:rPr>
          <w:rFonts w:ascii="LatienneTCE-Med" w:hAnsi="LatienneTCE-Med" w:cs="LatienneTCE-Med"/>
          <w:b/>
          <w:color w:val="0070C0"/>
        </w:rPr>
      </w:pPr>
      <w:r>
        <w:rPr>
          <w:rFonts w:ascii="LatienneTCE-Med" w:hAnsi="LatienneTCE-Med" w:cs="LatienneTCE-Med"/>
          <w:b/>
          <w:color w:val="0070C0"/>
        </w:rPr>
        <w:t>MOTTO:</w:t>
      </w:r>
    </w:p>
    <w:p w14:paraId="6441F9AE" w14:textId="77777777" w:rsidR="00F86349" w:rsidRDefault="004175D0" w:rsidP="004175D0">
      <w:pPr>
        <w:suppressAutoHyphens w:val="0"/>
        <w:jc w:val="center"/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>Ak ste schopný vidieť, chodiť, hovoriť,</w:t>
      </w:r>
    </w:p>
    <w:p w14:paraId="59BF4B41" w14:textId="60A2E542" w:rsidR="004175D0" w:rsidRDefault="004175D0" w:rsidP="004175D0">
      <w:pPr>
        <w:suppressAutoHyphens w:val="0"/>
        <w:jc w:val="center"/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 xml:space="preserve"> milovať</w:t>
      </w:r>
    </w:p>
    <w:p w14:paraId="4BE96AF1" w14:textId="77777777" w:rsidR="00F86349" w:rsidRDefault="004175D0" w:rsidP="00F86349">
      <w:pPr>
        <w:suppressAutoHyphens w:val="0"/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 xml:space="preserve">a každé ráno vstať  z postele – ste absolútne </w:t>
      </w:r>
      <w:r w:rsidR="00F86349"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 xml:space="preserve">    </w:t>
      </w:r>
    </w:p>
    <w:p w14:paraId="1AB6F194" w14:textId="410159F2" w:rsidR="004175D0" w:rsidRDefault="00F86349" w:rsidP="00F86349">
      <w:pPr>
        <w:suppressAutoHyphens w:val="0"/>
        <w:rPr>
          <w:rFonts w:ascii="LatienneTCE-Medi" w:hAnsi="LatienneTCE-Medi" w:cs="Times New Roman"/>
          <w:b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 xml:space="preserve">                           </w:t>
      </w:r>
      <w:r w:rsidR="004175D0"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>bohatá osoba.</w:t>
      </w:r>
    </w:p>
    <w:p w14:paraId="775E82FE" w14:textId="77777777" w:rsidR="004175D0" w:rsidRDefault="004175D0" w:rsidP="004175D0">
      <w:pPr>
        <w:suppressAutoHyphens w:val="0"/>
        <w:jc w:val="center"/>
        <w:rPr>
          <w:rFonts w:ascii="LatienneTCE-Medi" w:hAnsi="LatienneTCE-Medi" w:cs="Times New Roman"/>
          <w:b/>
          <w:color w:val="0070C0"/>
          <w:sz w:val="22"/>
          <w:szCs w:val="22"/>
          <w:lang w:eastAsia="sk-SK"/>
        </w:rPr>
      </w:pPr>
    </w:p>
    <w:p w14:paraId="7FD44E5E" w14:textId="77777777" w:rsidR="004175D0" w:rsidRDefault="004175D0" w:rsidP="004175D0">
      <w:pPr>
        <w:tabs>
          <w:tab w:val="left" w:pos="426"/>
        </w:tabs>
        <w:suppressAutoHyphens w:val="0"/>
        <w:rPr>
          <w:sz w:val="20"/>
          <w:szCs w:val="20"/>
        </w:rPr>
      </w:pPr>
      <w:r>
        <w:rPr>
          <w:rFonts w:ascii="LatienneTCE-Medi" w:eastAsia="LatienneTCE-Medi" w:hAnsi="LatienneTCE-Medi" w:cs="LatienneTCE-Medi"/>
          <w:b/>
          <w:color w:val="0070C0"/>
          <w:sz w:val="22"/>
          <w:szCs w:val="22"/>
          <w:lang w:eastAsia="sk-SK"/>
        </w:rPr>
        <w:t xml:space="preserve">      </w:t>
      </w:r>
    </w:p>
    <w:p w14:paraId="0ECF7558" w14:textId="77777777" w:rsidR="004175D0" w:rsidRDefault="004175D0" w:rsidP="004175D0">
      <w:pPr>
        <w:jc w:val="center"/>
        <w:rPr>
          <w:sz w:val="20"/>
          <w:szCs w:val="20"/>
        </w:rPr>
      </w:pPr>
    </w:p>
    <w:p w14:paraId="47D57AEC" w14:textId="77777777" w:rsidR="004175D0" w:rsidRDefault="004175D0" w:rsidP="004175D0">
      <w:pPr>
        <w:rPr>
          <w:sz w:val="20"/>
          <w:szCs w:val="20"/>
        </w:rPr>
      </w:pPr>
    </w:p>
    <w:p w14:paraId="63D99449" w14:textId="77777777" w:rsidR="004175D0" w:rsidRDefault="004175D0" w:rsidP="004175D0">
      <w:pPr>
        <w:rPr>
          <w:sz w:val="20"/>
          <w:szCs w:val="20"/>
        </w:rPr>
      </w:pPr>
    </w:p>
    <w:p w14:paraId="2D1AAB95" w14:textId="77777777" w:rsidR="004175D0" w:rsidRDefault="004175D0" w:rsidP="004175D0">
      <w:pPr>
        <w:rPr>
          <w:sz w:val="20"/>
          <w:szCs w:val="20"/>
        </w:rPr>
      </w:pPr>
    </w:p>
    <w:p w14:paraId="73353EA7" w14:textId="77777777" w:rsidR="004175D0" w:rsidRDefault="004175D0" w:rsidP="004175D0">
      <w:pPr>
        <w:rPr>
          <w:sz w:val="20"/>
          <w:szCs w:val="20"/>
        </w:rPr>
      </w:pPr>
    </w:p>
    <w:p w14:paraId="5CB19077" w14:textId="77777777" w:rsidR="004175D0" w:rsidRDefault="004175D0" w:rsidP="004175D0">
      <w:pPr>
        <w:rPr>
          <w:sz w:val="20"/>
          <w:szCs w:val="20"/>
        </w:rPr>
      </w:pPr>
    </w:p>
    <w:p w14:paraId="2300128E" w14:textId="77777777" w:rsidR="004175D0" w:rsidRPr="003C7CBE" w:rsidRDefault="004175D0" w:rsidP="004175D0">
      <w:pPr>
        <w:rPr>
          <w:color w:val="0066FF"/>
          <w:sz w:val="28"/>
          <w:szCs w:val="28"/>
        </w:rPr>
      </w:pPr>
      <w:r w:rsidRPr="003C7CBE">
        <w:rPr>
          <w:color w:val="0066FF"/>
          <w:sz w:val="28"/>
          <w:szCs w:val="28"/>
        </w:rPr>
        <w:t>Organizátori</w:t>
      </w:r>
    </w:p>
    <w:p w14:paraId="54D48596" w14:textId="77777777" w:rsidR="004175D0" w:rsidRDefault="004175D0" w:rsidP="004175D0">
      <w:pPr>
        <w:rPr>
          <w:color w:val="0066FF"/>
          <w:sz w:val="26"/>
          <w:szCs w:val="26"/>
        </w:rPr>
      </w:pPr>
    </w:p>
    <w:p w14:paraId="7815A793" w14:textId="77777777" w:rsidR="004175D0" w:rsidRPr="003C7CBE" w:rsidRDefault="004175D0" w:rsidP="004175D0">
      <w:pPr>
        <w:rPr>
          <w:rFonts w:ascii="LatienneTCE-Medi" w:hAnsi="LatienneTCE-Medi" w:cs="Times New Roman"/>
          <w:color w:val="0066FF"/>
          <w:lang w:eastAsia="sk-SK"/>
        </w:rPr>
      </w:pPr>
      <w:r w:rsidRPr="003C7CBE">
        <w:rPr>
          <w:rFonts w:ascii="LatienneTCE-Medi" w:hAnsi="LatienneTCE-Medi" w:cs="Times New Roman"/>
          <w:color w:val="0066FF"/>
          <w:lang w:eastAsia="sk-SK"/>
        </w:rPr>
        <w:t xml:space="preserve">RK SaPA KE I   Mgr. Elena </w:t>
      </w:r>
      <w:proofErr w:type="spellStart"/>
      <w:r w:rsidRPr="003C7CBE">
        <w:rPr>
          <w:rFonts w:ascii="LatienneTCE-Medi" w:hAnsi="LatienneTCE-Medi" w:cs="Times New Roman"/>
          <w:color w:val="0066FF"/>
          <w:lang w:eastAsia="sk-SK"/>
        </w:rPr>
        <w:t>Červeňáková</w:t>
      </w:r>
      <w:proofErr w:type="spellEnd"/>
    </w:p>
    <w:p w14:paraId="71CABBAB" w14:textId="77777777" w:rsidR="004175D0" w:rsidRDefault="004175D0" w:rsidP="004175D0">
      <w:pPr>
        <w:rPr>
          <w:rFonts w:ascii="LatienneTCE-Medi" w:hAnsi="LatienneTCE-Medi" w:cs="Times New Roman"/>
          <w:color w:val="0066FF"/>
          <w:sz w:val="28"/>
          <w:szCs w:val="28"/>
          <w:lang w:eastAsia="sk-SK"/>
        </w:rPr>
      </w:pPr>
      <w:r w:rsidRPr="003C7CBE">
        <w:rPr>
          <w:rFonts w:ascii="LatienneTCE-Medi" w:hAnsi="LatienneTCE-Medi" w:cs="Times New Roman"/>
          <w:color w:val="0066FF"/>
          <w:lang w:eastAsia="sk-SK"/>
        </w:rPr>
        <w:t>RK SaPA KE II  Mgr. Iveta  Fabianová</w:t>
      </w:r>
    </w:p>
    <w:p w14:paraId="098E8656" w14:textId="77777777" w:rsidR="004175D0" w:rsidRDefault="004175D0" w:rsidP="004175D0">
      <w:pPr>
        <w:suppressAutoHyphens w:val="0"/>
        <w:rPr>
          <w:rFonts w:ascii="LatienneTCE-Medi" w:eastAsia="LatienneTCE-Medi" w:hAnsi="LatienneTCE-Medi" w:cs="LatienneTCE-Medi"/>
          <w:color w:val="0070C0"/>
          <w:sz w:val="36"/>
          <w:szCs w:val="36"/>
          <w:lang w:eastAsia="sk-SK"/>
        </w:rPr>
      </w:pPr>
      <w:r>
        <w:rPr>
          <w:rFonts w:ascii="LatienneTCE-Medi" w:hAnsi="LatienneTCE-Medi" w:cs="Times New Roman"/>
          <w:color w:val="0066FF"/>
          <w:sz w:val="28"/>
          <w:szCs w:val="28"/>
          <w:lang w:eastAsia="sk-SK"/>
        </w:rPr>
        <w:t xml:space="preserve"> </w:t>
      </w:r>
    </w:p>
    <w:p w14:paraId="3BC4446B" w14:textId="77777777" w:rsidR="004175D0" w:rsidRDefault="004175D0" w:rsidP="004175D0">
      <w:pPr>
        <w:tabs>
          <w:tab w:val="left" w:pos="426"/>
        </w:tabs>
        <w:suppressAutoHyphens w:val="0"/>
        <w:rPr>
          <w:sz w:val="20"/>
          <w:szCs w:val="20"/>
        </w:rPr>
      </w:pPr>
      <w:r>
        <w:rPr>
          <w:rFonts w:ascii="LatienneTCE-Medi" w:eastAsia="LatienneTCE-Medi" w:hAnsi="LatienneTCE-Medi" w:cs="LatienneTCE-Medi"/>
          <w:color w:val="0070C0"/>
          <w:sz w:val="36"/>
          <w:szCs w:val="36"/>
          <w:lang w:eastAsia="sk-SK"/>
        </w:rPr>
        <w:t xml:space="preserve"> </w:t>
      </w:r>
    </w:p>
    <w:p w14:paraId="73819908" w14:textId="77777777" w:rsidR="004175D0" w:rsidRDefault="004175D0" w:rsidP="004175D0">
      <w:pPr>
        <w:rPr>
          <w:sz w:val="20"/>
          <w:szCs w:val="20"/>
        </w:rPr>
      </w:pPr>
    </w:p>
    <w:p w14:paraId="633FE53B" w14:textId="77777777" w:rsidR="00B0656A" w:rsidRDefault="00B0656A" w:rsidP="004175D0">
      <w:pPr>
        <w:rPr>
          <w:rFonts w:ascii="LatienneTCE-Medi" w:eastAsia="LatienneTCE-Medi" w:hAnsi="LatienneTCE-Medi" w:cs="Arial"/>
          <w:bCs/>
          <w:sz w:val="22"/>
          <w:szCs w:val="22"/>
        </w:rPr>
      </w:pPr>
    </w:p>
    <w:p w14:paraId="1F240179" w14:textId="77777777" w:rsidR="00B0656A" w:rsidRDefault="00B0656A" w:rsidP="004175D0">
      <w:pPr>
        <w:rPr>
          <w:rFonts w:ascii="LatienneTCE-Medi" w:eastAsia="LatienneTCE-Medi" w:hAnsi="LatienneTCE-Medi" w:cs="Arial"/>
          <w:bCs/>
          <w:sz w:val="22"/>
          <w:szCs w:val="22"/>
        </w:rPr>
      </w:pPr>
    </w:p>
    <w:p w14:paraId="37814E13" w14:textId="2549E6B2" w:rsidR="004175D0" w:rsidRDefault="004175D0" w:rsidP="004175D0">
      <w:pPr>
        <w:rPr>
          <w:rFonts w:ascii="LatienneTCE-Medi" w:eastAsia="LatienneTCE-Medi" w:hAnsi="LatienneTCE-Medi" w:cs="Arial"/>
          <w:bCs/>
          <w:sz w:val="22"/>
          <w:szCs w:val="22"/>
        </w:rPr>
      </w:pPr>
      <w:r>
        <w:rPr>
          <w:rFonts w:ascii="LatienneTCE-Medi" w:eastAsia="LatienneTCE-Medi" w:hAnsi="LatienneTCE-Medi" w:cs="Arial"/>
          <w:bCs/>
          <w:sz w:val="22"/>
          <w:szCs w:val="22"/>
        </w:rPr>
        <w:t xml:space="preserve">Na odborný regionálny seminár je potrebné </w:t>
      </w:r>
    </w:p>
    <w:p w14:paraId="769D0990" w14:textId="77777777" w:rsidR="004175D0" w:rsidRDefault="004175D0" w:rsidP="004175D0">
      <w:pPr>
        <w:rPr>
          <w:rFonts w:ascii="LatienneTCE-Medi" w:eastAsia="LatienneTCE-Medi" w:hAnsi="LatienneTCE-Medi" w:cs="LatienneTCE-Medi"/>
          <w:bCs/>
          <w:sz w:val="22"/>
          <w:szCs w:val="22"/>
        </w:rPr>
      </w:pPr>
      <w:r>
        <w:rPr>
          <w:rFonts w:ascii="LatienneTCE-Medi" w:eastAsia="LatienneTCE-Medi" w:hAnsi="LatienneTCE-Medi" w:cs="Arial"/>
          <w:bCs/>
          <w:sz w:val="22"/>
          <w:szCs w:val="22"/>
        </w:rPr>
        <w:t>prihlásiť sa elektronicky cez portál SK SaPA</w:t>
      </w:r>
    </w:p>
    <w:p w14:paraId="0184D147" w14:textId="77777777" w:rsidR="004175D0" w:rsidRDefault="004175D0" w:rsidP="004175D0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5F5D3CED" w14:textId="77777777" w:rsidR="004175D0" w:rsidRDefault="004175D0" w:rsidP="004175D0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16F7296B" w14:textId="77777777" w:rsidR="004175D0" w:rsidRDefault="004175D0" w:rsidP="004175D0">
      <w:pPr>
        <w:tabs>
          <w:tab w:val="left" w:pos="426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Konferenčný poplatok:</w:t>
      </w:r>
    </w:p>
    <w:p w14:paraId="22FC9A3B" w14:textId="77777777" w:rsidR="004175D0" w:rsidRDefault="004175D0" w:rsidP="004175D0">
      <w:pPr>
        <w:tabs>
          <w:tab w:val="left" w:pos="426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člen SK  SaPA      5,- €, </w:t>
      </w:r>
    </w:p>
    <w:p w14:paraId="4FB5914A" w14:textId="77777777" w:rsidR="004175D0" w:rsidRDefault="004175D0" w:rsidP="004175D0">
      <w:pPr>
        <w:tabs>
          <w:tab w:val="left" w:pos="426"/>
        </w:tabs>
        <w:suppressAutoHyphens w:val="0"/>
        <w:rPr>
          <w:b/>
          <w:sz w:val="22"/>
          <w:szCs w:val="22"/>
        </w:rPr>
      </w:pPr>
      <w:r>
        <w:rPr>
          <w:sz w:val="22"/>
          <w:szCs w:val="22"/>
        </w:rPr>
        <w:t>pri registrácií predložiť</w:t>
      </w:r>
      <w:r>
        <w:rPr>
          <w:b/>
          <w:sz w:val="22"/>
          <w:szCs w:val="22"/>
        </w:rPr>
        <w:t xml:space="preserve"> doklady o zaplatení </w:t>
      </w:r>
    </w:p>
    <w:p w14:paraId="0393A525" w14:textId="77777777" w:rsidR="004175D0" w:rsidRDefault="004175D0" w:rsidP="004175D0">
      <w:pPr>
        <w:tabs>
          <w:tab w:val="left" w:pos="426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členských  príspevkov, </w:t>
      </w:r>
    </w:p>
    <w:p w14:paraId="52332713" w14:textId="77777777" w:rsidR="004175D0" w:rsidRPr="00BD44FC" w:rsidRDefault="004175D0" w:rsidP="004175D0">
      <w:pPr>
        <w:tabs>
          <w:tab w:val="left" w:pos="426"/>
        </w:tabs>
        <w:suppressAutoHyphens w:val="0"/>
        <w:rPr>
          <w:rFonts w:ascii="LatienneTCE-Medi" w:hAnsi="LatienneTCE-Medi" w:cs="Times New Roman"/>
          <w:b/>
          <w:color w:val="0070C0"/>
          <w:sz w:val="22"/>
          <w:szCs w:val="22"/>
          <w:lang w:eastAsia="sk-SK"/>
        </w:rPr>
      </w:pPr>
      <w:r>
        <w:rPr>
          <w:sz w:val="22"/>
          <w:szCs w:val="22"/>
        </w:rPr>
        <w:t xml:space="preserve">pri nepredložení </w:t>
      </w:r>
      <w:r>
        <w:rPr>
          <w:b/>
          <w:sz w:val="22"/>
          <w:szCs w:val="22"/>
        </w:rPr>
        <w:t>–</w:t>
      </w:r>
      <w:r>
        <w:rPr>
          <w:rFonts w:ascii="LatienneTCE-Medi" w:hAnsi="LatienneTCE-Medi" w:cs="Times New Roman"/>
          <w:b/>
          <w:color w:val="0070C0"/>
          <w:sz w:val="22"/>
          <w:szCs w:val="22"/>
          <w:lang w:eastAsia="sk-SK"/>
        </w:rPr>
        <w:t xml:space="preserve"> </w:t>
      </w:r>
      <w:r>
        <w:rPr>
          <w:sz w:val="22"/>
          <w:szCs w:val="22"/>
        </w:rPr>
        <w:t xml:space="preserve">poplatok   </w:t>
      </w:r>
      <w:r>
        <w:rPr>
          <w:b/>
          <w:sz w:val="22"/>
          <w:szCs w:val="22"/>
        </w:rPr>
        <w:t>10,-€</w:t>
      </w:r>
    </w:p>
    <w:p w14:paraId="0F6EEB4F" w14:textId="77777777" w:rsidR="004175D0" w:rsidRDefault="004175D0" w:rsidP="004175D0">
      <w:pPr>
        <w:ind w:left="720"/>
        <w:jc w:val="both"/>
        <w:rPr>
          <w:b/>
          <w:sz w:val="22"/>
          <w:szCs w:val="22"/>
        </w:rPr>
      </w:pPr>
    </w:p>
    <w:p w14:paraId="7345947C" w14:textId="77777777" w:rsidR="00BE4DDF" w:rsidRDefault="004175D0" w:rsidP="004175D0">
      <w:pPr>
        <w:suppressAutoHyphens w:val="0"/>
        <w:rPr>
          <w:sz w:val="22"/>
          <w:szCs w:val="22"/>
        </w:rPr>
      </w:pPr>
      <w:r>
        <w:rPr>
          <w:b/>
          <w:sz w:val="22"/>
          <w:szCs w:val="22"/>
        </w:rPr>
        <w:t xml:space="preserve"> nečlen SK SaPA     10,- € </w:t>
      </w:r>
      <w:r>
        <w:rPr>
          <w:sz w:val="22"/>
          <w:szCs w:val="22"/>
        </w:rPr>
        <w:t xml:space="preserve"> </w:t>
      </w:r>
    </w:p>
    <w:p w14:paraId="2D45DC4A" w14:textId="31043B52" w:rsidR="004175D0" w:rsidRPr="00C87A22" w:rsidRDefault="00BE4DDF" w:rsidP="004175D0">
      <w:pPr>
        <w:suppressAutoHyphens w:val="0"/>
        <w:rPr>
          <w:rFonts w:ascii="LatienneTCE-Medi" w:hAnsi="LatienneTCE-Medi" w:cs="Times New Roman"/>
          <w:b/>
          <w:bCs/>
          <w:color w:val="0070C0"/>
          <w:sz w:val="22"/>
          <w:szCs w:val="22"/>
          <w:lang w:eastAsia="sk-SK"/>
        </w:rPr>
      </w:pPr>
      <w:r w:rsidRPr="00C87A22">
        <w:rPr>
          <w:b/>
          <w:bCs/>
          <w:sz w:val="22"/>
          <w:szCs w:val="22"/>
        </w:rPr>
        <w:t>konferenčný poplatok splatný na mieste</w:t>
      </w:r>
      <w:r w:rsidR="004175D0" w:rsidRPr="00C87A22">
        <w:rPr>
          <w:b/>
          <w:bCs/>
          <w:sz w:val="22"/>
          <w:szCs w:val="22"/>
        </w:rPr>
        <w:t xml:space="preserve">    </w:t>
      </w:r>
    </w:p>
    <w:p w14:paraId="6C20CB43" w14:textId="77777777" w:rsidR="004175D0" w:rsidRDefault="004175D0" w:rsidP="004175D0">
      <w:pPr>
        <w:suppressAutoHyphens w:val="0"/>
        <w:rPr>
          <w:rFonts w:ascii="LatienneTCE-Medi" w:hAnsi="LatienneTCE-Medi" w:cs="Times New Roman"/>
          <w:b/>
          <w:color w:val="0070C0"/>
          <w:sz w:val="22"/>
          <w:szCs w:val="22"/>
          <w:lang w:eastAsia="sk-SK"/>
        </w:rPr>
      </w:pPr>
    </w:p>
    <w:p w14:paraId="4122B503" w14:textId="77777777" w:rsidR="004175D0" w:rsidRDefault="004175D0" w:rsidP="004175D0">
      <w:pPr>
        <w:suppressAutoHyphens w:val="0"/>
        <w:rPr>
          <w:rFonts w:ascii="LatienneTCE-Medi" w:hAnsi="LatienneTCE-Medi" w:cs="Times New Roman"/>
          <w:color w:val="0070C0"/>
          <w:sz w:val="20"/>
          <w:szCs w:val="20"/>
          <w:lang w:eastAsia="sk-SK"/>
        </w:rPr>
      </w:pPr>
    </w:p>
    <w:p w14:paraId="6B870EAD" w14:textId="77777777" w:rsidR="004175D0" w:rsidRDefault="004175D0" w:rsidP="004175D0">
      <w:pPr>
        <w:suppressAutoHyphens w:val="0"/>
        <w:jc w:val="center"/>
        <w:rPr>
          <w:rFonts w:ascii="LatienneTCE-Medi" w:hAnsi="LatienneTCE-Medi" w:cs="LatienneTCE-Medi"/>
          <w:b/>
          <w:bCs/>
          <w:i/>
        </w:rPr>
      </w:pPr>
    </w:p>
    <w:p w14:paraId="57FCC546" w14:textId="77777777" w:rsidR="00B0656A" w:rsidRDefault="00B0656A" w:rsidP="00B0656A">
      <w:pPr>
        <w:suppressAutoHyphens w:val="0"/>
        <w:rPr>
          <w:rFonts w:ascii="LatienneTCE-Medi" w:hAnsi="LatienneTCE-Medi" w:cs="LatienneTCE-Medi"/>
          <w:b/>
          <w:bCs/>
          <w:i/>
        </w:rPr>
      </w:pPr>
    </w:p>
    <w:p w14:paraId="1EB6C5AD" w14:textId="77777777" w:rsidR="009F0AB2" w:rsidRDefault="009F0AB2" w:rsidP="00B0656A">
      <w:pPr>
        <w:suppressAutoHyphens w:val="0"/>
        <w:rPr>
          <w:rFonts w:ascii="LatienneTCE-Medi" w:hAnsi="LatienneTCE-Medi" w:cs="LatienneTCE-Medi"/>
          <w:b/>
          <w:bCs/>
          <w:i/>
        </w:rPr>
      </w:pPr>
    </w:p>
    <w:p w14:paraId="5E811DFB" w14:textId="77777777" w:rsidR="00C87A22" w:rsidRDefault="00C87A22" w:rsidP="00586504">
      <w:pPr>
        <w:suppressAutoHyphens w:val="0"/>
        <w:jc w:val="center"/>
        <w:rPr>
          <w:rFonts w:ascii="LatienneTCE-Medi" w:hAnsi="LatienneTCE-Medi" w:cs="LatienneTCE-Medi"/>
          <w:b/>
          <w:bCs/>
          <w:i/>
        </w:rPr>
      </w:pPr>
    </w:p>
    <w:p w14:paraId="72C826AF" w14:textId="6A33C107" w:rsidR="00374F58" w:rsidRPr="009E2AC7" w:rsidRDefault="00374F58" w:rsidP="00586504">
      <w:pPr>
        <w:suppressAutoHyphens w:val="0"/>
        <w:jc w:val="center"/>
        <w:rPr>
          <w:b/>
          <w:bCs/>
          <w:sz w:val="20"/>
          <w:szCs w:val="20"/>
        </w:rPr>
      </w:pPr>
      <w:r>
        <w:rPr>
          <w:rFonts w:ascii="LatienneTCE-Medi" w:hAnsi="LatienneTCE-Medi" w:cs="LatienneTCE-Medi"/>
          <w:b/>
          <w:bCs/>
          <w:i/>
        </w:rPr>
        <w:t>Regionálna komora sestier a pôrodných asistentiek Košice I a Košice II</w:t>
      </w:r>
    </w:p>
    <w:p w14:paraId="0380F619" w14:textId="77777777" w:rsidR="00374F58" w:rsidRDefault="00374F58" w:rsidP="006543C1">
      <w:pPr>
        <w:jc w:val="center"/>
        <w:rPr>
          <w:rFonts w:ascii="LatienneTCE-Medi" w:hAnsi="LatienneTCE-Medi" w:cs="LatienneTCE-Medi"/>
          <w:b/>
          <w:bCs/>
          <w:i/>
        </w:rPr>
      </w:pPr>
    </w:p>
    <w:p w14:paraId="056DCD91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Vás  srdečne pozýva</w:t>
      </w:r>
    </w:p>
    <w:p w14:paraId="27B56D40" w14:textId="77777777" w:rsidR="00843727" w:rsidRDefault="00374F58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na odborný  seminár</w:t>
      </w:r>
    </w:p>
    <w:p w14:paraId="52127D29" w14:textId="3A9F2A30" w:rsidR="00E644EE" w:rsidRDefault="00E644EE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 xml:space="preserve">pri príležitosti Medzinárodného dňa sestier </w:t>
      </w:r>
    </w:p>
    <w:p w14:paraId="6073D4CB" w14:textId="5238DCC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 xml:space="preserve"> </w:t>
      </w:r>
      <w:r w:rsidR="00843727">
        <w:rPr>
          <w:rFonts w:ascii="LatienneTCE-Medi" w:hAnsi="LatienneTCE-Medi" w:cs="LatienneTCE-Medi"/>
          <w:b/>
          <w:bCs/>
          <w:i/>
        </w:rPr>
        <w:t xml:space="preserve">Košický </w:t>
      </w:r>
      <w:r>
        <w:rPr>
          <w:rFonts w:ascii="LatienneTCE-Medi" w:hAnsi="LatienneTCE-Medi" w:cs="LatienneTCE-Medi"/>
          <w:b/>
          <w:bCs/>
          <w:i/>
        </w:rPr>
        <w:t xml:space="preserve"> d</w:t>
      </w:r>
      <w:r w:rsidR="00843727">
        <w:rPr>
          <w:rFonts w:ascii="LatienneTCE-Medi" w:hAnsi="LatienneTCE-Medi" w:cs="LatienneTCE-Medi"/>
          <w:b/>
          <w:bCs/>
          <w:i/>
        </w:rPr>
        <w:t>eň</w:t>
      </w:r>
      <w:r>
        <w:rPr>
          <w:rFonts w:ascii="LatienneTCE-Medi" w:hAnsi="LatienneTCE-Medi" w:cs="LatienneTCE-Medi"/>
          <w:b/>
          <w:bCs/>
          <w:i/>
        </w:rPr>
        <w:t xml:space="preserve"> sestier,</w:t>
      </w:r>
    </w:p>
    <w:p w14:paraId="56B75486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</w:p>
    <w:p w14:paraId="52327E48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ktorý sa bude konať</w:t>
      </w:r>
    </w:p>
    <w:p w14:paraId="762375AE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</w:p>
    <w:p w14:paraId="49669922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dňa</w:t>
      </w:r>
    </w:p>
    <w:p w14:paraId="000D9030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</w:p>
    <w:p w14:paraId="236124F5" w14:textId="36F37079" w:rsidR="00374F58" w:rsidRDefault="00BE4DDF">
      <w:pPr>
        <w:spacing w:after="20"/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17.mája 2024</w:t>
      </w:r>
      <w:r w:rsidR="00374F58">
        <w:rPr>
          <w:rFonts w:ascii="LatienneTCE-Medi" w:hAnsi="LatienneTCE-Medi" w:cs="LatienneTCE-Medi"/>
          <w:b/>
          <w:bCs/>
          <w:i/>
        </w:rPr>
        <w:t xml:space="preserve">  </w:t>
      </w:r>
      <w:r w:rsidR="006637A3">
        <w:rPr>
          <w:rFonts w:ascii="LatienneTCE-Medi" w:hAnsi="LatienneTCE-Medi" w:cs="LatienneTCE-Medi"/>
          <w:b/>
          <w:bCs/>
          <w:i/>
        </w:rPr>
        <w:t>s</w:t>
      </w:r>
      <w:r w:rsidR="00374F58">
        <w:rPr>
          <w:rFonts w:ascii="LatienneTCE-Medi" w:hAnsi="LatienneTCE-Medi" w:cs="LatienneTCE-Medi"/>
          <w:b/>
          <w:bCs/>
          <w:i/>
        </w:rPr>
        <w:t>o začiatkom o 9.00 hodine</w:t>
      </w:r>
    </w:p>
    <w:p w14:paraId="60D3823A" w14:textId="77777777" w:rsidR="00374F58" w:rsidRDefault="00374F58">
      <w:pPr>
        <w:spacing w:after="20"/>
        <w:ind w:right="108"/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v Dome umenia, Moyzesova 66, Košice</w:t>
      </w:r>
    </w:p>
    <w:p w14:paraId="2D37CD87" w14:textId="77777777" w:rsidR="00374F58" w:rsidRDefault="00374F58">
      <w:pPr>
        <w:spacing w:after="20"/>
        <w:jc w:val="center"/>
        <w:rPr>
          <w:rFonts w:ascii="LatienneTCE-Medi" w:hAnsi="LatienneTCE-Medi" w:cs="LatienneTCE-Medi"/>
          <w:b/>
          <w:bCs/>
          <w:i/>
        </w:rPr>
      </w:pPr>
    </w:p>
    <w:p w14:paraId="50D48171" w14:textId="77777777" w:rsidR="00374F58" w:rsidRDefault="00374F58">
      <w:pPr>
        <w:rPr>
          <w:rFonts w:ascii="LatienneTCE-Medi" w:hAnsi="LatienneTCE-Medi" w:cs="LatienneTCE-Medi"/>
          <w:b/>
          <w:bCs/>
          <w:color w:val="0070C0"/>
          <w:sz w:val="22"/>
          <w:szCs w:val="22"/>
        </w:rPr>
      </w:pPr>
    </w:p>
    <w:p w14:paraId="0376BE3F" w14:textId="77777777" w:rsidR="00374F58" w:rsidRDefault="00374F58">
      <w:pPr>
        <w:rPr>
          <w:rFonts w:ascii="LatienneTCE-Medi" w:hAnsi="LatienneTCE-Medi" w:cs="LatienneTCE-Medi"/>
          <w:b/>
          <w:bCs/>
          <w:color w:val="0070C0"/>
          <w:sz w:val="22"/>
          <w:szCs w:val="22"/>
        </w:rPr>
      </w:pPr>
    </w:p>
    <w:p w14:paraId="7D6D2377" w14:textId="77777777" w:rsidR="00374F58" w:rsidRDefault="00374F58">
      <w:pPr>
        <w:rPr>
          <w:rFonts w:ascii="LatienneTCE-Medi" w:hAnsi="LatienneTCE-Medi" w:cs="LatienneTCE-Medi"/>
          <w:b/>
          <w:bCs/>
          <w:color w:val="0070C0"/>
          <w:sz w:val="22"/>
          <w:szCs w:val="22"/>
        </w:rPr>
      </w:pPr>
    </w:p>
    <w:p w14:paraId="5EF68F5A" w14:textId="77777777" w:rsidR="00374F58" w:rsidRDefault="00374F58">
      <w:pPr>
        <w:rPr>
          <w:rFonts w:ascii="LatienneTCE-Medi" w:hAnsi="LatienneTCE-Medi" w:cs="LatienneTCE-Medi"/>
          <w:b/>
          <w:bCs/>
          <w:color w:val="0070C0"/>
          <w:sz w:val="22"/>
          <w:szCs w:val="22"/>
        </w:rPr>
      </w:pPr>
    </w:p>
    <w:p w14:paraId="33E66B1A" w14:textId="77777777" w:rsidR="00374F58" w:rsidRPr="005D5F2F" w:rsidRDefault="00374F58">
      <w:pPr>
        <w:rPr>
          <w:rFonts w:cs="Times New Roman"/>
          <w:b/>
          <w:bCs/>
          <w:sz w:val="20"/>
          <w:szCs w:val="20"/>
        </w:rPr>
      </w:pPr>
      <w:r>
        <w:rPr>
          <w:rFonts w:ascii="LatienneTCE-Medi" w:eastAsia="LatienneTCE-Medi" w:hAnsi="LatienneTCE-Medi" w:cs="LatienneTCE-Medi"/>
          <w:b/>
          <w:bCs/>
          <w:sz w:val="20"/>
          <w:szCs w:val="20"/>
        </w:rPr>
        <w:t xml:space="preserve"> </w:t>
      </w:r>
      <w:r w:rsidRPr="005D5F2F">
        <w:rPr>
          <w:rFonts w:cs="Times New Roman"/>
          <w:b/>
          <w:bCs/>
          <w:sz w:val="20"/>
          <w:szCs w:val="20"/>
        </w:rPr>
        <w:t>08:00 - 08:50       Registrácia účastníkov</w:t>
      </w:r>
    </w:p>
    <w:p w14:paraId="29A7A481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1F5EBD76" w14:textId="77777777" w:rsidR="00374F58" w:rsidRDefault="00374F58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10970E1E" w14:textId="77777777" w:rsidR="00374F58" w:rsidRPr="005D5F2F" w:rsidRDefault="00374F58">
      <w:pPr>
        <w:rPr>
          <w:rFonts w:cs="Times New Roman"/>
          <w:b/>
          <w:bCs/>
          <w:sz w:val="22"/>
          <w:szCs w:val="22"/>
        </w:rPr>
      </w:pPr>
      <w:r w:rsidRPr="005D5F2F">
        <w:rPr>
          <w:rFonts w:eastAsia="LatienneTCE-Medi" w:cs="Times New Roman"/>
          <w:b/>
          <w:bCs/>
          <w:i/>
          <w:sz w:val="22"/>
          <w:szCs w:val="22"/>
        </w:rPr>
        <w:t xml:space="preserve"> </w:t>
      </w:r>
      <w:r w:rsidRPr="005D5F2F">
        <w:rPr>
          <w:rFonts w:cs="Times New Roman"/>
          <w:b/>
          <w:bCs/>
          <w:i/>
          <w:sz w:val="22"/>
          <w:szCs w:val="22"/>
        </w:rPr>
        <w:t>Program:</w:t>
      </w:r>
    </w:p>
    <w:p w14:paraId="0E055BDC" w14:textId="77777777" w:rsidR="00374F58" w:rsidRPr="005D5F2F" w:rsidRDefault="00374F58">
      <w:pPr>
        <w:rPr>
          <w:rFonts w:cs="Times New Roman"/>
          <w:b/>
          <w:bCs/>
          <w:sz w:val="22"/>
          <w:szCs w:val="22"/>
        </w:rPr>
      </w:pPr>
    </w:p>
    <w:p w14:paraId="7EA1BAEB" w14:textId="77777777" w:rsidR="00374F58" w:rsidRPr="005D5F2F" w:rsidRDefault="00374F58">
      <w:pPr>
        <w:rPr>
          <w:rFonts w:eastAsia="LatienneTCE-Medi" w:cs="Times New Roman"/>
          <w:bCs/>
          <w:sz w:val="22"/>
          <w:szCs w:val="22"/>
        </w:rPr>
      </w:pPr>
      <w:r w:rsidRPr="005D5F2F">
        <w:rPr>
          <w:rFonts w:eastAsia="LatienneTCE-Medi" w:cs="Times New Roman"/>
          <w:bCs/>
          <w:sz w:val="22"/>
          <w:szCs w:val="22"/>
        </w:rPr>
        <w:t xml:space="preserve"> </w:t>
      </w:r>
      <w:r w:rsidRPr="005D5F2F">
        <w:rPr>
          <w:rFonts w:cs="Times New Roman"/>
          <w:bCs/>
          <w:sz w:val="22"/>
          <w:szCs w:val="22"/>
        </w:rPr>
        <w:t>1.  Otvorenie</w:t>
      </w:r>
    </w:p>
    <w:p w14:paraId="1D8CCBD3" w14:textId="77777777" w:rsidR="00374F58" w:rsidRPr="005D5F2F" w:rsidRDefault="00374F58">
      <w:pPr>
        <w:rPr>
          <w:rFonts w:cs="Times New Roman"/>
          <w:bCs/>
          <w:sz w:val="22"/>
          <w:szCs w:val="22"/>
        </w:rPr>
      </w:pPr>
      <w:r w:rsidRPr="005D5F2F">
        <w:rPr>
          <w:rFonts w:eastAsia="LatienneTCE-Medi" w:cs="Times New Roman"/>
          <w:bCs/>
          <w:sz w:val="22"/>
          <w:szCs w:val="22"/>
        </w:rPr>
        <w:t xml:space="preserve"> </w:t>
      </w:r>
      <w:r w:rsidRPr="005D5F2F">
        <w:rPr>
          <w:rFonts w:cs="Times New Roman"/>
          <w:bCs/>
          <w:sz w:val="22"/>
          <w:szCs w:val="22"/>
        </w:rPr>
        <w:t>2.  Príhovory hostí</w:t>
      </w:r>
    </w:p>
    <w:p w14:paraId="7D7F43B0" w14:textId="1A2F7714" w:rsidR="00BE4DDF" w:rsidRPr="005D5F2F" w:rsidRDefault="00BE4DDF">
      <w:pPr>
        <w:rPr>
          <w:rFonts w:eastAsia="LatienneTCE-Medi" w:cs="Times New Roman"/>
          <w:bCs/>
          <w:sz w:val="22"/>
          <w:szCs w:val="22"/>
        </w:rPr>
      </w:pPr>
      <w:r w:rsidRPr="005D5F2F">
        <w:rPr>
          <w:rFonts w:cs="Times New Roman"/>
          <w:bCs/>
          <w:sz w:val="22"/>
          <w:szCs w:val="22"/>
        </w:rPr>
        <w:t xml:space="preserve"> 3.  Výnimočný zdravotník UNLP</w:t>
      </w:r>
    </w:p>
    <w:p w14:paraId="3D741A45" w14:textId="77777777" w:rsidR="00374F58" w:rsidRPr="005D5F2F" w:rsidRDefault="00374F58">
      <w:pPr>
        <w:rPr>
          <w:rFonts w:eastAsia="LatienneTCE-Medi" w:cs="Times New Roman"/>
          <w:bCs/>
          <w:sz w:val="22"/>
          <w:szCs w:val="22"/>
        </w:rPr>
      </w:pPr>
      <w:r w:rsidRPr="005D5F2F">
        <w:rPr>
          <w:rFonts w:eastAsia="LatienneTCE-Medi" w:cs="Times New Roman"/>
          <w:bCs/>
          <w:sz w:val="22"/>
          <w:szCs w:val="22"/>
        </w:rPr>
        <w:t xml:space="preserve"> </w:t>
      </w:r>
    </w:p>
    <w:p w14:paraId="2A20A0E2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40C8D372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736491FB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744134A7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048DEF38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541EF742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4300767E" w14:textId="77777777" w:rsidR="00374F58" w:rsidRDefault="00374F58">
      <w:pPr>
        <w:rPr>
          <w:rFonts w:ascii="LatienneTCE-Medi" w:eastAsia="LatienneTCE-Medi" w:hAnsi="LatienneTCE-Medi" w:cs="Arial"/>
          <w:bCs/>
          <w:sz w:val="22"/>
          <w:szCs w:val="22"/>
        </w:rPr>
      </w:pPr>
    </w:p>
    <w:p w14:paraId="03CE9F9C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28CDE35D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7D982965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5178F3E3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28313065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021A5FDF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48DCA4EF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53B04422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4F0F75AC" w14:textId="77777777" w:rsidR="00374F58" w:rsidRPr="005D5F2F" w:rsidRDefault="00374F58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  <w:r w:rsidRPr="005D5F2F">
        <w:rPr>
          <w:rFonts w:cs="Times New Roman"/>
          <w:b/>
          <w:bCs/>
          <w:i/>
          <w:sz w:val="22"/>
          <w:szCs w:val="22"/>
        </w:rPr>
        <w:t xml:space="preserve">Odborný program I. blok   </w:t>
      </w:r>
      <w:r w:rsidRPr="005D5F2F">
        <w:rPr>
          <w:rFonts w:cs="Times New Roman"/>
          <w:bCs/>
          <w:i/>
          <w:sz w:val="22"/>
          <w:szCs w:val="22"/>
        </w:rPr>
        <w:t>(9.00 -</w:t>
      </w:r>
      <w:r w:rsidR="00BD44FC" w:rsidRPr="005D5F2F">
        <w:rPr>
          <w:rFonts w:cs="Times New Roman"/>
          <w:bCs/>
          <w:i/>
          <w:sz w:val="22"/>
          <w:szCs w:val="22"/>
        </w:rPr>
        <w:t xml:space="preserve"> </w:t>
      </w:r>
      <w:r w:rsidRPr="005D5F2F">
        <w:rPr>
          <w:rFonts w:cs="Times New Roman"/>
          <w:bCs/>
          <w:i/>
          <w:sz w:val="22"/>
          <w:szCs w:val="22"/>
        </w:rPr>
        <w:t>12.00)</w:t>
      </w:r>
    </w:p>
    <w:p w14:paraId="1F222AEB" w14:textId="77777777" w:rsidR="00374F58" w:rsidRDefault="00374F58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7CD52E44" w14:textId="77777777" w:rsidR="00374F58" w:rsidRDefault="00374F58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02214B26" w14:textId="77777777" w:rsidR="00BE4DDF" w:rsidRDefault="00BE4DDF" w:rsidP="00BE4DDF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/>
          <w:b/>
          <w:i/>
          <w:sz w:val="20"/>
          <w:szCs w:val="20"/>
          <w:lang w:eastAsia="sk-SK"/>
        </w:rPr>
      </w:pPr>
      <w:r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Intervenčný výkon pri 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trikuspidálnej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regurgitácie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Triclip</w:t>
      </w:r>
      <w:proofErr w:type="spellEnd"/>
    </w:p>
    <w:p w14:paraId="524C8F60" w14:textId="6454F98E" w:rsidR="00BE4DDF" w:rsidRPr="00EC536E" w:rsidRDefault="005E1B71" w:rsidP="00EC536E">
      <w:pPr>
        <w:pStyle w:val="Odsekzoznamu"/>
        <w:spacing w:line="240" w:lineRule="auto"/>
        <w:ind w:left="360"/>
        <w:jc w:val="right"/>
        <w:rPr>
          <w:rFonts w:ascii="Times New Roman" w:hAnsi="Times New Roman"/>
          <w:b/>
          <w:i/>
          <w:sz w:val="20"/>
          <w:szCs w:val="20"/>
          <w:lang w:eastAsia="sk-SK"/>
        </w:rPr>
      </w:pPr>
      <w:r>
        <w:rPr>
          <w:rFonts w:asciiTheme="minorHAnsi" w:hAnsiTheme="minorHAnsi" w:cstheme="minorHAnsi"/>
          <w:i/>
          <w:sz w:val="20"/>
          <w:szCs w:val="20"/>
          <w:lang w:eastAsia="sk-SK"/>
        </w:rPr>
        <w:t xml:space="preserve"> </w:t>
      </w:r>
      <w:r w:rsidR="00BE4DDF" w:rsidRPr="00EC536E">
        <w:rPr>
          <w:rFonts w:ascii="Times New Roman" w:hAnsi="Times New Roman"/>
          <w:i/>
          <w:sz w:val="20"/>
          <w:szCs w:val="20"/>
          <w:lang w:eastAsia="sk-SK"/>
        </w:rPr>
        <w:t>Sabová</w:t>
      </w:r>
      <w:r w:rsidRPr="00EC536E">
        <w:rPr>
          <w:rFonts w:ascii="Times New Roman" w:hAnsi="Times New Roman"/>
          <w:i/>
          <w:sz w:val="20"/>
          <w:szCs w:val="20"/>
          <w:lang w:eastAsia="sk-SK"/>
        </w:rPr>
        <w:t xml:space="preserve"> V.</w:t>
      </w:r>
      <w:r w:rsidR="00BE4DDF" w:rsidRPr="00EC536E">
        <w:rPr>
          <w:rFonts w:ascii="Times New Roman" w:hAnsi="Times New Roman"/>
          <w:i/>
          <w:sz w:val="20"/>
          <w:szCs w:val="20"/>
          <w:lang w:eastAsia="sk-SK"/>
        </w:rPr>
        <w:t>, Vavreková</w:t>
      </w:r>
      <w:r w:rsidRPr="00EC536E">
        <w:rPr>
          <w:rFonts w:ascii="Times New Roman" w:hAnsi="Times New Roman"/>
          <w:i/>
          <w:sz w:val="20"/>
          <w:szCs w:val="20"/>
          <w:lang w:eastAsia="sk-SK"/>
        </w:rPr>
        <w:t xml:space="preserve"> A.</w:t>
      </w:r>
      <w:r w:rsidR="00BE4DDF" w:rsidRPr="00EC536E">
        <w:rPr>
          <w:rFonts w:ascii="Times New Roman" w:hAnsi="Times New Roman"/>
          <w:i/>
          <w:sz w:val="20"/>
          <w:szCs w:val="20"/>
          <w:lang w:eastAsia="sk-SK"/>
        </w:rPr>
        <w:t xml:space="preserve">, Vargová </w:t>
      </w:r>
      <w:r w:rsidRPr="00EC536E">
        <w:rPr>
          <w:rFonts w:ascii="Times New Roman" w:hAnsi="Times New Roman"/>
          <w:i/>
          <w:sz w:val="20"/>
          <w:szCs w:val="20"/>
          <w:lang w:eastAsia="sk-SK"/>
        </w:rPr>
        <w:t>A.</w:t>
      </w:r>
      <w:r w:rsidR="00BE4DDF" w:rsidRPr="00EC536E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 xml:space="preserve"> </w:t>
      </w:r>
      <w:r w:rsidR="00BE4DDF" w:rsidRPr="00EC536E">
        <w:rPr>
          <w:rFonts w:ascii="Times New Roman" w:hAnsi="Times New Roman"/>
          <w:bCs/>
          <w:i/>
          <w:iCs/>
          <w:sz w:val="20"/>
          <w:szCs w:val="20"/>
          <w:lang w:eastAsia="sk-SK"/>
        </w:rPr>
        <w:t xml:space="preserve">              </w:t>
      </w:r>
    </w:p>
    <w:p w14:paraId="5E2533E9" w14:textId="7A2F92D6" w:rsidR="00BE4DDF" w:rsidRDefault="00BE4DDF" w:rsidP="00EC536E">
      <w:pPr>
        <w:pStyle w:val="Odsekzoznamu"/>
        <w:spacing w:line="240" w:lineRule="auto"/>
        <w:ind w:left="360"/>
        <w:jc w:val="right"/>
        <w:rPr>
          <w:rFonts w:ascii="Times New Roman" w:hAnsi="Times New Roman"/>
          <w:b/>
          <w:i/>
          <w:sz w:val="20"/>
          <w:szCs w:val="20"/>
          <w:lang w:eastAsia="sk-SK"/>
        </w:rPr>
      </w:pPr>
      <w:r w:rsidRPr="00EC536E">
        <w:rPr>
          <w:rFonts w:ascii="Times New Roman" w:hAnsi="Times New Roman"/>
          <w:b/>
          <w:i/>
          <w:sz w:val="20"/>
          <w:szCs w:val="20"/>
          <w:lang w:eastAsia="sk-SK"/>
        </w:rPr>
        <w:t xml:space="preserve">                                                                </w:t>
      </w:r>
      <w:r w:rsidRPr="00EC536E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>(VÚSCH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sk-SK"/>
        </w:rPr>
        <w:t>)</w:t>
      </w:r>
    </w:p>
    <w:p w14:paraId="544560EA" w14:textId="77777777" w:rsidR="00BE4DDF" w:rsidRDefault="00BE4DDF" w:rsidP="00BE4DDF">
      <w:pPr>
        <w:numPr>
          <w:ilvl w:val="0"/>
          <w:numId w:val="3"/>
        </w:numPr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  <w:shd w:val="clear" w:color="auto" w:fill="FFFFFF"/>
        </w:rPr>
        <w:t> Získanie ľudskej plazmy z aferézy</w:t>
      </w:r>
    </w:p>
    <w:p w14:paraId="04A3C0BC" w14:textId="3A885C3A" w:rsidR="00BE4DDF" w:rsidRPr="00EC536E" w:rsidRDefault="00BE4DDF" w:rsidP="00EC536E">
      <w:pPr>
        <w:ind w:left="360"/>
        <w:jc w:val="right"/>
        <w:rPr>
          <w:rFonts w:cs="Times New Roman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                                           </w:t>
      </w:r>
      <w:r w:rsidR="00EC536E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            </w:t>
      </w:r>
      <w:r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 </w:t>
      </w:r>
      <w:r w:rsidRPr="00EC536E">
        <w:rPr>
          <w:rFonts w:cs="Times New Roman"/>
          <w:i/>
          <w:color w:val="000000"/>
          <w:sz w:val="20"/>
          <w:szCs w:val="20"/>
          <w:shd w:val="clear" w:color="auto" w:fill="FFFFFF"/>
        </w:rPr>
        <w:t>Jablonská</w:t>
      </w:r>
      <w:r w:rsidRPr="00EC536E">
        <w:rPr>
          <w:rFonts w:cs="Times New Roman"/>
          <w:i/>
          <w:sz w:val="20"/>
          <w:szCs w:val="20"/>
        </w:rPr>
        <w:t xml:space="preserve"> P. (NTS</w:t>
      </w:r>
      <w:r w:rsidRPr="00EC536E">
        <w:rPr>
          <w:rFonts w:cs="Times New Roman"/>
          <w:bCs/>
          <w:i/>
          <w:sz w:val="20"/>
          <w:szCs w:val="20"/>
        </w:rPr>
        <w:t>)</w:t>
      </w:r>
    </w:p>
    <w:p w14:paraId="1925A9F7" w14:textId="77777777" w:rsidR="00BE4DDF" w:rsidRDefault="00BE4DDF" w:rsidP="00BE4DDF">
      <w:pPr>
        <w:pStyle w:val="Odsekzoznamu"/>
        <w:spacing w:line="240" w:lineRule="auto"/>
        <w:ind w:left="0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54F62F03" w14:textId="77777777" w:rsidR="00BE4DDF" w:rsidRDefault="00BE4DDF" w:rsidP="00BE4DDF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Transfúzne reakcie a ich výskyt v Košickom kraji za obdobie rokov 2019 - 2023 </w:t>
      </w:r>
    </w:p>
    <w:p w14:paraId="03766E78" w14:textId="3D3ABDE9" w:rsidR="00BE4DDF" w:rsidRPr="00EC536E" w:rsidRDefault="00BE4DDF" w:rsidP="00EC536E">
      <w:pPr>
        <w:pStyle w:val="Odsekzoznamu"/>
        <w:spacing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</w:t>
      </w:r>
      <w:r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</w:t>
      </w:r>
      <w:r w:rsidRPr="00EC536E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Bérešová</w:t>
      </w:r>
      <w:r w:rsidR="005E1B71" w:rsidRPr="00EC536E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Z. </w:t>
      </w:r>
      <w:r w:rsidRPr="00EC536E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(NTS</w:t>
      </w:r>
      <w:r w:rsidRPr="00EC536E">
        <w:rPr>
          <w:rFonts w:ascii="Times New Roman" w:hAnsi="Times New Roman"/>
          <w:bCs/>
          <w:i/>
          <w:sz w:val="20"/>
          <w:szCs w:val="20"/>
        </w:rPr>
        <w:t>)</w:t>
      </w:r>
    </w:p>
    <w:p w14:paraId="7178A60A" w14:textId="77777777" w:rsidR="00BE4DDF" w:rsidRDefault="00BE4DDF" w:rsidP="00BE4DDF">
      <w:pPr>
        <w:pStyle w:val="Odsekzoznamu"/>
        <w:spacing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2F126B8A" w14:textId="3D051C43" w:rsidR="005E1B71" w:rsidRDefault="005E1B71" w:rsidP="00BE4DDF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Poskytovanie ošetrovateľskej starostlivosti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lege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artis</w:t>
      </w:r>
    </w:p>
    <w:p w14:paraId="0A10BE14" w14:textId="37E4D653" w:rsidR="00C87A22" w:rsidRDefault="005E1B71" w:rsidP="00C87A22">
      <w:pPr>
        <w:suppressAutoHyphens w:val="0"/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9518F1">
        <w:rPr>
          <w:b/>
          <w:bCs/>
          <w:i/>
          <w:iCs/>
          <w:sz w:val="20"/>
          <w:szCs w:val="20"/>
        </w:rPr>
        <w:t xml:space="preserve">                      </w:t>
      </w:r>
      <w:r w:rsidRPr="009518F1">
        <w:rPr>
          <w:i/>
          <w:iCs/>
          <w:sz w:val="20"/>
          <w:szCs w:val="20"/>
        </w:rPr>
        <w:t>Slávik</w:t>
      </w:r>
      <w:r w:rsidR="009518F1">
        <w:rPr>
          <w:i/>
          <w:iCs/>
          <w:sz w:val="20"/>
          <w:szCs w:val="20"/>
        </w:rPr>
        <w:t xml:space="preserve"> D. </w:t>
      </w:r>
    </w:p>
    <w:p w14:paraId="407B1CED" w14:textId="2FFCA348" w:rsidR="00C87A22" w:rsidRDefault="00EC536E" w:rsidP="00C87A22">
      <w:pPr>
        <w:suppressAutoHyphens w:val="0"/>
        <w:autoSpaceDE w:val="0"/>
        <w:autoSpaceDN w:val="0"/>
        <w:adjustRightInd w:val="0"/>
        <w:jc w:val="right"/>
        <w:rPr>
          <w:rFonts w:ascii="MS Shell Dlg 2" w:hAnsi="MS Shell Dlg 2" w:cs="MS Shell Dlg 2"/>
          <w:sz w:val="16"/>
          <w:szCs w:val="16"/>
          <w:lang w:eastAsia="sk-SK"/>
        </w:rPr>
      </w:pP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Puchalla,Slávik</w:t>
      </w:r>
      <w:r w:rsidR="00C87A22" w:rsidRPr="00C87A22">
        <w:rPr>
          <w:rFonts w:cs="Times New Roman"/>
          <w:sz w:val="20"/>
          <w:szCs w:val="20"/>
          <w:lang w:eastAsia="sk-SK"/>
        </w:rPr>
        <w:t>&amp;</w:t>
      </w:r>
      <w:r w:rsidR="00C87A22">
        <w:rPr>
          <w:rFonts w:cs="Times New Roman"/>
          <w:sz w:val="20"/>
          <w:szCs w:val="20"/>
          <w:lang w:eastAsia="sk-SK"/>
        </w:rPr>
        <w:t>partners</w:t>
      </w:r>
      <w:proofErr w:type="spellEnd"/>
      <w:r w:rsidR="00C87A22">
        <w:rPr>
          <w:rFonts w:cs="Times New Roman"/>
          <w:sz w:val="20"/>
          <w:szCs w:val="20"/>
          <w:lang w:eastAsia="sk-SK"/>
        </w:rPr>
        <w:t xml:space="preserve"> </w:t>
      </w:r>
      <w:proofErr w:type="spellStart"/>
      <w:r w:rsidR="00C87A22">
        <w:rPr>
          <w:rFonts w:cs="Times New Roman"/>
          <w:sz w:val="20"/>
          <w:szCs w:val="20"/>
          <w:lang w:eastAsia="sk-SK"/>
        </w:rPr>
        <w:t>s.r.o</w:t>
      </w:r>
      <w:proofErr w:type="spellEnd"/>
      <w:r w:rsidR="00C87A22">
        <w:rPr>
          <w:rFonts w:cs="Times New Roman"/>
          <w:sz w:val="20"/>
          <w:szCs w:val="20"/>
          <w:lang w:eastAsia="sk-SK"/>
        </w:rPr>
        <w:t>.)</w:t>
      </w:r>
    </w:p>
    <w:p w14:paraId="6A840B09" w14:textId="4E119720" w:rsidR="005E1B71" w:rsidRDefault="005E1B71" w:rsidP="005E1B71">
      <w:pPr>
        <w:pStyle w:val="Odsekzoznamu"/>
        <w:spacing w:line="240" w:lineRule="auto"/>
        <w:ind w:left="360"/>
        <w:rPr>
          <w:rFonts w:ascii="Times New Roman" w:hAnsi="Times New Roman"/>
          <w:i/>
          <w:iCs/>
          <w:sz w:val="20"/>
          <w:szCs w:val="20"/>
        </w:rPr>
      </w:pPr>
    </w:p>
    <w:p w14:paraId="3C86D388" w14:textId="78D56F0E" w:rsidR="00BE4DDF" w:rsidRDefault="00BE4DDF" w:rsidP="00BE4DDF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Uzáver defektu predsieňového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septa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amplatzerovým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okluderom</w:t>
      </w:r>
      <w:proofErr w:type="spellEnd"/>
    </w:p>
    <w:p w14:paraId="1B6DD2AA" w14:textId="0025B2DB" w:rsidR="00BE4DDF" w:rsidRDefault="005E1B71" w:rsidP="00EC536E">
      <w:pPr>
        <w:pStyle w:val="Odsekzoznamu"/>
        <w:spacing w:line="240" w:lineRule="auto"/>
        <w:ind w:left="360"/>
        <w:jc w:val="right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sk-SK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sk-SK"/>
        </w:rPr>
        <w:t xml:space="preserve">  </w:t>
      </w:r>
      <w:r w:rsidR="00BE4DDF" w:rsidRPr="00EC536E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>Vavreková</w:t>
      </w:r>
      <w:r w:rsidR="00EC536E" w:rsidRPr="00EC536E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 xml:space="preserve"> </w:t>
      </w:r>
      <w:r w:rsidRPr="00EC536E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>A.</w:t>
      </w:r>
      <w:r w:rsidR="00BE4DDF" w:rsidRPr="00EC536E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 xml:space="preserve">,  </w:t>
      </w:r>
      <w:proofErr w:type="spellStart"/>
      <w:r w:rsidR="00BE4DDF" w:rsidRPr="00EC536E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>Gumanová</w:t>
      </w:r>
      <w:proofErr w:type="spellEnd"/>
      <w:r w:rsidRPr="00EC536E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 xml:space="preserve"> I.</w:t>
      </w:r>
      <w:r w:rsidR="00BE4DDF" w:rsidRPr="00EC536E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>,</w:t>
      </w:r>
      <w:proofErr w:type="spellStart"/>
      <w:r w:rsidRPr="00EC536E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>Cinkaničová</w:t>
      </w:r>
      <w:proofErr w:type="spellEnd"/>
      <w:r w:rsidRPr="00EC536E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 xml:space="preserve"> M.</w:t>
      </w:r>
      <w:r w:rsidR="00BE4DDF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sk-SK"/>
        </w:rPr>
        <w:t xml:space="preserve">                                             </w:t>
      </w:r>
      <w:r w:rsidR="00EC536E">
        <w:rPr>
          <w:rFonts w:asciiTheme="minorHAnsi" w:eastAsia="Times New Roman" w:hAnsiTheme="minorHAnsi" w:cstheme="minorHAnsi"/>
          <w:bCs/>
          <w:i/>
          <w:iCs/>
          <w:noProof/>
          <w:sz w:val="20"/>
          <w:szCs w:val="20"/>
          <w:lang w:eastAsia="sk-SK"/>
        </w:rPr>
        <w:t xml:space="preserve">                        </w:t>
      </w:r>
      <w:r w:rsidR="00BE4DDF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sk-SK"/>
        </w:rPr>
        <w:t>(VÚSCH)</w:t>
      </w:r>
    </w:p>
    <w:p w14:paraId="792502CC" w14:textId="77777777" w:rsidR="00EC536E" w:rsidRDefault="00EC536E" w:rsidP="00BE4DDF">
      <w:pPr>
        <w:pStyle w:val="Odsekzoznamu"/>
        <w:spacing w:line="240" w:lineRule="auto"/>
        <w:ind w:left="360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sk-SK"/>
        </w:rPr>
      </w:pPr>
    </w:p>
    <w:p w14:paraId="70490936" w14:textId="77777777" w:rsidR="005E1B71" w:rsidRPr="00EC536E" w:rsidRDefault="005E1B71" w:rsidP="00BE4DDF">
      <w:pPr>
        <w:pStyle w:val="Odsekzoznamu"/>
        <w:numPr>
          <w:ilvl w:val="0"/>
          <w:numId w:val="3"/>
        </w:numPr>
        <w:rPr>
          <w:rFonts w:ascii="Times New Roman" w:hAnsi="Times New Roman"/>
          <w:b/>
          <w:bCs/>
          <w:sz w:val="20"/>
          <w:szCs w:val="20"/>
        </w:rPr>
      </w:pPr>
      <w:r w:rsidRPr="00EC536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Urgentné interné ošetrovateľstvo "nepresiahne" 24 hodín</w:t>
      </w:r>
      <w:r w:rsidR="00BE4DDF" w:rsidRPr="00EC536E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14:paraId="2ACF1776" w14:textId="022D3DAF" w:rsidR="00BE4DDF" w:rsidRPr="005E1B71" w:rsidRDefault="005E1B71" w:rsidP="00EC536E">
      <w:pPr>
        <w:pStyle w:val="Odsekzoznamu"/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Pr="005E1B71">
        <w:rPr>
          <w:b/>
          <w:bCs/>
          <w:sz w:val="20"/>
          <w:szCs w:val="20"/>
        </w:rPr>
        <w:t xml:space="preserve">     </w:t>
      </w:r>
      <w:proofErr w:type="spellStart"/>
      <w:r w:rsidRPr="005E1B71">
        <w:rPr>
          <w:i/>
          <w:iCs/>
          <w:sz w:val="20"/>
          <w:szCs w:val="20"/>
        </w:rPr>
        <w:t>Maščáková</w:t>
      </w:r>
      <w:proofErr w:type="spellEnd"/>
      <w:r w:rsidRPr="005E1B71">
        <w:rPr>
          <w:i/>
          <w:iCs/>
          <w:sz w:val="20"/>
          <w:szCs w:val="20"/>
        </w:rPr>
        <w:t xml:space="preserve"> N.   (UNLP)</w:t>
      </w:r>
    </w:p>
    <w:p w14:paraId="30250C81" w14:textId="77777777" w:rsidR="00C87A22" w:rsidRDefault="00C87A22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53046216" w14:textId="77777777" w:rsidR="00C87A22" w:rsidRDefault="00C87A22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0B44BA81" w14:textId="185D6BFC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  <w:r>
        <w:rPr>
          <w:rFonts w:ascii="LatienneTCE-Medi" w:hAnsi="LatienneTCE-Medi" w:cs="LatienneTCE-Medi"/>
          <w:b/>
          <w:bCs/>
          <w:i/>
          <w:sz w:val="22"/>
          <w:szCs w:val="22"/>
        </w:rPr>
        <w:t xml:space="preserve">Prestávka  </w:t>
      </w:r>
    </w:p>
    <w:p w14:paraId="66B3AF18" w14:textId="77777777" w:rsidR="00374F58" w:rsidRPr="005E1B71" w:rsidRDefault="00374F58">
      <w:pPr>
        <w:rPr>
          <w:rFonts w:ascii="LatienneTCE-Medi" w:hAnsi="LatienneTCE-Medi" w:cs="LatienneTCE-Medi"/>
          <w:sz w:val="20"/>
          <w:szCs w:val="20"/>
        </w:rPr>
      </w:pPr>
    </w:p>
    <w:p w14:paraId="038AFF78" w14:textId="77777777" w:rsidR="009E2AC7" w:rsidRDefault="009E2AC7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067759F1" w14:textId="77777777" w:rsidR="009E2AC7" w:rsidRDefault="009E2AC7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2BC220A2" w14:textId="77777777" w:rsidR="009E2AC7" w:rsidRDefault="009E2AC7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516AB587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05C2CB3F" w14:textId="77777777" w:rsidR="00374F58" w:rsidRDefault="007C2314">
      <w:pPr>
        <w:rPr>
          <w:rFonts w:ascii="LatienneTCE-Medi" w:hAnsi="LatienneTCE-Medi" w:cs="LatienneTCE-Medi"/>
          <w:b/>
          <w:bCs/>
          <w:sz w:val="20"/>
          <w:szCs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BD22FC0" wp14:editId="797ED80D">
            <wp:simplePos x="0" y="0"/>
            <wp:positionH relativeFrom="column">
              <wp:posOffset>333375</wp:posOffset>
            </wp:positionH>
            <wp:positionV relativeFrom="paragraph">
              <wp:posOffset>106045</wp:posOffset>
            </wp:positionV>
            <wp:extent cx="2511425" cy="760095"/>
            <wp:effectExtent l="0" t="0" r="0" b="0"/>
            <wp:wrapSquare wrapText="largest"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E324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064598D9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37057C39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687B63CE" w14:textId="77777777" w:rsidR="00374F58" w:rsidRDefault="00374F58"/>
    <w:p w14:paraId="60B0D284" w14:textId="77777777" w:rsidR="00374F58" w:rsidRDefault="00374F58">
      <w:pPr>
        <w:rPr>
          <w:rFonts w:ascii="LatienneTCE-Medi" w:hAnsi="LatienneTCE-Medi" w:cs="LatienneTCE-Medi"/>
          <w:b/>
          <w:bCs/>
          <w:sz w:val="22"/>
          <w:szCs w:val="22"/>
        </w:rPr>
      </w:pPr>
    </w:p>
    <w:p w14:paraId="7A88F561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2814806B" w14:textId="77777777" w:rsidR="00374F58" w:rsidRDefault="00374F58">
      <w:pPr>
        <w:suppressAutoHyphens w:val="0"/>
        <w:jc w:val="both"/>
      </w:pPr>
    </w:p>
    <w:p w14:paraId="24626602" w14:textId="77777777" w:rsidR="00C87A22" w:rsidRDefault="00C87A22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14F6DA7D" w14:textId="1A680A5E" w:rsidR="00374F58" w:rsidRPr="005D5F2F" w:rsidRDefault="00374F58">
      <w:pPr>
        <w:rPr>
          <w:rFonts w:cs="Times New Roman"/>
          <w:b/>
          <w:bCs/>
          <w:sz w:val="22"/>
          <w:szCs w:val="22"/>
        </w:rPr>
      </w:pPr>
      <w:r w:rsidRPr="005D5F2F">
        <w:rPr>
          <w:rFonts w:cs="Times New Roman"/>
          <w:b/>
          <w:bCs/>
          <w:i/>
          <w:sz w:val="22"/>
          <w:szCs w:val="22"/>
        </w:rPr>
        <w:t xml:space="preserve">Odborný program II. blok    </w:t>
      </w:r>
      <w:r w:rsidRPr="005D5F2F">
        <w:rPr>
          <w:rFonts w:cs="Times New Roman"/>
          <w:bCs/>
          <w:i/>
          <w:sz w:val="22"/>
          <w:szCs w:val="22"/>
        </w:rPr>
        <w:t>(12.30 -14.30)</w:t>
      </w:r>
    </w:p>
    <w:p w14:paraId="5D28A947" w14:textId="77777777" w:rsidR="00374F58" w:rsidRDefault="00374F58">
      <w:pPr>
        <w:rPr>
          <w:rFonts w:cs="Times New Roman"/>
          <w:b/>
          <w:bCs/>
          <w:sz w:val="20"/>
          <w:szCs w:val="20"/>
        </w:rPr>
      </w:pPr>
    </w:p>
    <w:p w14:paraId="44753727" w14:textId="77777777" w:rsidR="005E1B71" w:rsidRDefault="005E1B71" w:rsidP="005E1B71">
      <w:pPr>
        <w:pStyle w:val="Odsekzoznamu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Prečo prvá pomoc ?</w:t>
      </w:r>
      <w:r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5FD1B792" w14:textId="159CF605" w:rsidR="005E1B71" w:rsidRDefault="005E1B71" w:rsidP="005D5F2F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                           </w:t>
      </w:r>
      <w:r w:rsidR="005D5F2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         </w:t>
      </w:r>
      <w:r w:rsidR="009518F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</w:t>
      </w:r>
      <w:proofErr w:type="spellStart"/>
      <w:r>
        <w:rPr>
          <w:rFonts w:asciiTheme="minorHAnsi" w:hAnsiTheme="minorHAnsi" w:cstheme="minorHAnsi"/>
          <w:bCs/>
          <w:i/>
          <w:iCs/>
          <w:sz w:val="20"/>
          <w:szCs w:val="20"/>
        </w:rPr>
        <w:t>Demenyová</w:t>
      </w:r>
      <w:proofErr w:type="spellEnd"/>
      <w:r w:rsidR="009518F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I.   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(KOS)                                                                                </w:t>
      </w:r>
    </w:p>
    <w:p w14:paraId="30ADC9DC" w14:textId="77777777" w:rsidR="009E2AC7" w:rsidRPr="009E2AC7" w:rsidRDefault="009E2AC7" w:rsidP="009E2AC7">
      <w:pPr>
        <w:rPr>
          <w:rFonts w:cs="Times New Roman"/>
          <w:i/>
          <w:iCs/>
          <w:color w:val="000000"/>
          <w:sz w:val="20"/>
          <w:szCs w:val="20"/>
        </w:rPr>
      </w:pPr>
    </w:p>
    <w:p w14:paraId="21B6B0B6" w14:textId="5B7E4BFD" w:rsidR="00BE4DDF" w:rsidRPr="00BE4DDF" w:rsidRDefault="00BE4DDF" w:rsidP="00586504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rPr>
          <w:b/>
          <w:bCs/>
          <w:color w:val="222222"/>
          <w:sz w:val="20"/>
          <w:szCs w:val="20"/>
        </w:rPr>
      </w:pPr>
      <w:r w:rsidRPr="00BE4DDF">
        <w:rPr>
          <w:b/>
          <w:bCs/>
          <w:color w:val="000000"/>
          <w:sz w:val="20"/>
          <w:szCs w:val="20"/>
        </w:rPr>
        <w:t>Životný štýl žien s inkontinenciou moču</w:t>
      </w:r>
    </w:p>
    <w:p w14:paraId="12C25E14" w14:textId="0FBF8CE8" w:rsidR="00BE4DDF" w:rsidRPr="00BE4DDF" w:rsidRDefault="009518F1" w:rsidP="005D5F2F">
      <w:pPr>
        <w:pStyle w:val="Normlnywebov"/>
        <w:shd w:val="clear" w:color="auto" w:fill="FFFFFF"/>
        <w:spacing w:before="0" w:beforeAutospacing="0" w:after="0" w:afterAutospacing="0" w:line="195" w:lineRule="atLeast"/>
        <w:ind w:left="360"/>
        <w:jc w:val="both"/>
        <w:rPr>
          <w:i/>
          <w:iCs/>
          <w:color w:val="222222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</w:t>
      </w:r>
      <w:r w:rsidR="005D5F2F">
        <w:rPr>
          <w:i/>
          <w:iCs/>
          <w:color w:val="000000"/>
          <w:sz w:val="20"/>
          <w:szCs w:val="20"/>
        </w:rPr>
        <w:t xml:space="preserve">         </w:t>
      </w:r>
      <w:r>
        <w:rPr>
          <w:i/>
          <w:iCs/>
          <w:color w:val="000000"/>
          <w:sz w:val="20"/>
          <w:szCs w:val="20"/>
        </w:rPr>
        <w:t xml:space="preserve">   </w:t>
      </w:r>
      <w:proofErr w:type="spellStart"/>
      <w:r w:rsidR="00BE4DDF" w:rsidRPr="00BE4DDF">
        <w:rPr>
          <w:i/>
          <w:iCs/>
          <w:color w:val="000000"/>
          <w:sz w:val="20"/>
          <w:szCs w:val="20"/>
        </w:rPr>
        <w:t>Miženková</w:t>
      </w:r>
      <w:proofErr w:type="spellEnd"/>
      <w:r>
        <w:rPr>
          <w:i/>
          <w:iCs/>
          <w:color w:val="000000"/>
          <w:sz w:val="20"/>
          <w:szCs w:val="20"/>
        </w:rPr>
        <w:t xml:space="preserve"> J.</w:t>
      </w:r>
      <w:r w:rsidR="00BE4DDF" w:rsidRPr="00BE4DDF">
        <w:rPr>
          <w:i/>
          <w:iCs/>
          <w:color w:val="000000"/>
          <w:sz w:val="20"/>
          <w:szCs w:val="20"/>
        </w:rPr>
        <w:t xml:space="preserve">, </w:t>
      </w:r>
      <w:proofErr w:type="spellStart"/>
      <w:r w:rsidR="00BE4DDF" w:rsidRPr="00BE4DDF">
        <w:rPr>
          <w:i/>
          <w:iCs/>
          <w:color w:val="000000"/>
          <w:sz w:val="20"/>
          <w:szCs w:val="20"/>
        </w:rPr>
        <w:t>Michnová</w:t>
      </w:r>
      <w:proofErr w:type="spellEnd"/>
      <w:r>
        <w:rPr>
          <w:i/>
          <w:iCs/>
          <w:color w:val="000000"/>
          <w:sz w:val="20"/>
          <w:szCs w:val="20"/>
        </w:rPr>
        <w:t xml:space="preserve"> Ľ.  (UNLP)</w:t>
      </w:r>
    </w:p>
    <w:p w14:paraId="50F2551E" w14:textId="490EBA06" w:rsidR="00360B42" w:rsidRPr="00BE4DDF" w:rsidRDefault="00360B42" w:rsidP="00BE4DDF">
      <w:pPr>
        <w:rPr>
          <w:rFonts w:cs="Times New Roman"/>
          <w:i/>
          <w:iCs/>
          <w:sz w:val="20"/>
          <w:szCs w:val="20"/>
        </w:rPr>
      </w:pPr>
    </w:p>
    <w:p w14:paraId="60E9C350" w14:textId="77777777" w:rsidR="00360B42" w:rsidRDefault="00360B42" w:rsidP="00360B42">
      <w:pPr>
        <w:pStyle w:val="Odsekzoznamu"/>
        <w:spacing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64C687D1" w14:textId="77777777" w:rsidR="00586504" w:rsidRPr="005D5F2F" w:rsidRDefault="00586504" w:rsidP="00586504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5D5F2F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Periférne implantovaná centrálna kanyla</w:t>
      </w:r>
    </w:p>
    <w:p w14:paraId="29E251E9" w14:textId="2F554CA5" w:rsidR="00586504" w:rsidRPr="005D5F2F" w:rsidRDefault="00586504" w:rsidP="00586504">
      <w:pPr>
        <w:pStyle w:val="Odsekzoznamu"/>
        <w:ind w:left="36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5D5F2F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- PICC</w:t>
      </w:r>
      <w:r w:rsidR="005E1B71" w:rsidRPr="005D5F2F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5E1B71" w:rsidRPr="005D5F2F">
        <w:rPr>
          <w:b/>
          <w:bCs/>
          <w:i/>
          <w:sz w:val="20"/>
          <w:szCs w:val="20"/>
        </w:rPr>
        <w:t xml:space="preserve">                                            </w:t>
      </w:r>
      <w:r w:rsidRPr="005D5F2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 w:rsidR="005E1B71" w:rsidRPr="005D5F2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5D5F2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</w:p>
    <w:p w14:paraId="2B122310" w14:textId="47A7F003" w:rsidR="005E1B71" w:rsidRPr="00586504" w:rsidRDefault="00586504" w:rsidP="005D5F2F">
      <w:pPr>
        <w:pStyle w:val="Odsekzoznamu"/>
        <w:ind w:left="36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            </w:t>
      </w:r>
      <w:r w:rsidR="005D5F2F">
        <w:rPr>
          <w:rFonts w:asciiTheme="minorHAnsi" w:hAnsiTheme="minorHAnsi" w:cstheme="minorHAnsi"/>
          <w:bCs/>
          <w:i/>
          <w:sz w:val="20"/>
          <w:szCs w:val="20"/>
        </w:rPr>
        <w:t xml:space="preserve">   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    </w:t>
      </w:r>
      <w:proofErr w:type="spellStart"/>
      <w:r w:rsidR="005E1B71" w:rsidRPr="00586504">
        <w:rPr>
          <w:rFonts w:asciiTheme="minorHAnsi" w:hAnsiTheme="minorHAnsi" w:cstheme="minorHAnsi"/>
          <w:bCs/>
          <w:i/>
          <w:sz w:val="20"/>
          <w:szCs w:val="20"/>
        </w:rPr>
        <w:t>Lizáková</w:t>
      </w:r>
      <w:proofErr w:type="spellEnd"/>
      <w:r>
        <w:rPr>
          <w:rFonts w:asciiTheme="minorHAnsi" w:hAnsiTheme="minorHAnsi" w:cstheme="minorHAnsi"/>
          <w:bCs/>
          <w:i/>
          <w:sz w:val="20"/>
          <w:szCs w:val="20"/>
        </w:rPr>
        <w:t xml:space="preserve"> V.</w:t>
      </w:r>
      <w:r w:rsidR="005E1B71" w:rsidRPr="00586504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9518F1">
        <w:rPr>
          <w:rFonts w:asciiTheme="minorHAnsi" w:hAnsiTheme="minorHAnsi" w:cstheme="minorHAnsi"/>
          <w:bCs/>
          <w:i/>
          <w:sz w:val="20"/>
          <w:szCs w:val="20"/>
        </w:rPr>
        <w:t xml:space="preserve">    </w:t>
      </w:r>
      <w:r w:rsidR="005E1B71" w:rsidRPr="00586504">
        <w:rPr>
          <w:rFonts w:asciiTheme="minorHAnsi" w:hAnsiTheme="minorHAnsi" w:cstheme="minorHAnsi"/>
          <w:bCs/>
          <w:i/>
          <w:sz w:val="20"/>
          <w:szCs w:val="20"/>
        </w:rPr>
        <w:t>(UNLP)</w:t>
      </w:r>
    </w:p>
    <w:p w14:paraId="71D7F0A8" w14:textId="77777777" w:rsidR="005E1B71" w:rsidRDefault="005E1B71" w:rsidP="005E1B71">
      <w:pPr>
        <w:pStyle w:val="Odsekzoznamu"/>
        <w:spacing w:after="0" w:line="240" w:lineRule="auto"/>
        <w:ind w:left="360"/>
        <w:rPr>
          <w:rFonts w:asciiTheme="minorHAnsi" w:hAnsiTheme="minorHAnsi" w:cstheme="minorHAnsi"/>
          <w:bCs/>
          <w:i/>
          <w:sz w:val="20"/>
          <w:szCs w:val="20"/>
        </w:rPr>
      </w:pPr>
    </w:p>
    <w:p w14:paraId="043840B1" w14:textId="77777777" w:rsidR="005E1B71" w:rsidRDefault="005E1B71" w:rsidP="005E1B71">
      <w:pPr>
        <w:pStyle w:val="Odsekzoznamu"/>
        <w:numPr>
          <w:ilvl w:val="0"/>
          <w:numId w:val="3"/>
        </w:numPr>
        <w:spacing w:after="0"/>
        <w:rPr>
          <w:bCs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Deň na klinike</w:t>
      </w:r>
    </w:p>
    <w:p w14:paraId="7D1669E3" w14:textId="10AF7909" w:rsidR="005E1B71" w:rsidRDefault="005E1B71" w:rsidP="005D5F2F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</w:t>
      </w:r>
      <w:proofErr w:type="spellStart"/>
      <w:r>
        <w:rPr>
          <w:rFonts w:asciiTheme="minorHAnsi" w:hAnsiTheme="minorHAnsi" w:cstheme="minorHAnsi"/>
          <w:bCs/>
          <w:i/>
          <w:sz w:val="20"/>
          <w:szCs w:val="20"/>
        </w:rPr>
        <w:t>Bušová</w:t>
      </w:r>
      <w:proofErr w:type="spellEnd"/>
      <w:r w:rsidR="00586504">
        <w:rPr>
          <w:rFonts w:asciiTheme="minorHAnsi" w:hAnsiTheme="minorHAnsi" w:cstheme="minorHAnsi"/>
          <w:bCs/>
          <w:i/>
          <w:sz w:val="20"/>
          <w:szCs w:val="20"/>
        </w:rPr>
        <w:t xml:space="preserve"> Z.</w:t>
      </w:r>
      <w:r w:rsidR="009518F1">
        <w:rPr>
          <w:rFonts w:asciiTheme="minorHAnsi" w:hAnsiTheme="minorHAnsi" w:cstheme="minorHAnsi"/>
          <w:bCs/>
          <w:i/>
          <w:sz w:val="20"/>
          <w:szCs w:val="20"/>
        </w:rPr>
        <w:t xml:space="preserve">      </w:t>
      </w:r>
      <w:r w:rsidR="005D5F2F">
        <w:rPr>
          <w:rFonts w:asciiTheme="minorHAnsi" w:hAnsiTheme="minorHAnsi" w:cstheme="minorHAnsi"/>
          <w:bCs/>
          <w:i/>
          <w:sz w:val="20"/>
          <w:szCs w:val="20"/>
        </w:rPr>
        <w:t xml:space="preserve">  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(UNLP)</w:t>
      </w:r>
    </w:p>
    <w:p w14:paraId="5FE93461" w14:textId="77777777" w:rsidR="005E1B71" w:rsidRDefault="005E1B71" w:rsidP="005E1B71">
      <w:pPr>
        <w:pStyle w:val="Odsekzoznamu"/>
        <w:spacing w:line="24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AC40E7B" w14:textId="11144AC2" w:rsidR="005E1B71" w:rsidRPr="009518F1" w:rsidRDefault="005E1B71" w:rsidP="009518F1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9518F1">
        <w:rPr>
          <w:rFonts w:ascii="Times New Roman" w:hAnsi="Times New Roman"/>
          <w:b/>
          <w:iCs/>
          <w:sz w:val="20"/>
          <w:szCs w:val="20"/>
        </w:rPr>
        <w:t>Poradenstvo a edukácia pacienta s epilepsiou</w:t>
      </w:r>
    </w:p>
    <w:p w14:paraId="1E6C2AAD" w14:textId="528FCE34" w:rsidR="005E1B71" w:rsidRDefault="005E1B71" w:rsidP="005D5F2F">
      <w:pPr>
        <w:pStyle w:val="Odsekzoznamu"/>
        <w:tabs>
          <w:tab w:val="left" w:pos="4678"/>
        </w:tabs>
        <w:ind w:left="360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9518F1">
        <w:rPr>
          <w:rFonts w:ascii="Times New Roman" w:hAnsi="Times New Roman"/>
          <w:i/>
          <w:sz w:val="20"/>
          <w:szCs w:val="20"/>
        </w:rPr>
        <w:t xml:space="preserve">   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 w:rsidR="009518F1">
        <w:rPr>
          <w:rFonts w:ascii="Times New Roman" w:hAnsi="Times New Roman"/>
          <w:i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i/>
          <w:sz w:val="20"/>
          <w:szCs w:val="20"/>
        </w:rPr>
        <w:t>Velková</w:t>
      </w:r>
      <w:proofErr w:type="spellEnd"/>
      <w:r w:rsidR="009518F1">
        <w:rPr>
          <w:rFonts w:ascii="Times New Roman" w:hAnsi="Times New Roman"/>
          <w:i/>
          <w:sz w:val="20"/>
          <w:szCs w:val="20"/>
        </w:rPr>
        <w:t xml:space="preserve"> S</w:t>
      </w:r>
      <w:r w:rsidR="005D5F2F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9518F1">
        <w:rPr>
          <w:rFonts w:ascii="Times New Roman" w:hAnsi="Times New Roman"/>
          <w:i/>
          <w:sz w:val="20"/>
          <w:szCs w:val="20"/>
        </w:rPr>
        <w:t xml:space="preserve">  </w:t>
      </w:r>
      <w:r w:rsidR="005D5F2F">
        <w:rPr>
          <w:rFonts w:ascii="Times New Roman" w:hAnsi="Times New Roman"/>
          <w:i/>
          <w:sz w:val="20"/>
          <w:szCs w:val="20"/>
        </w:rPr>
        <w:t xml:space="preserve"> </w:t>
      </w:r>
      <w:r w:rsidR="009518F1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(DFN)</w:t>
      </w:r>
    </w:p>
    <w:p w14:paraId="2BBE8B17" w14:textId="77777777" w:rsidR="009518F1" w:rsidRDefault="009518F1" w:rsidP="005E1B71">
      <w:pPr>
        <w:pStyle w:val="Odsekzoznamu"/>
        <w:tabs>
          <w:tab w:val="left" w:pos="4678"/>
        </w:tabs>
        <w:ind w:left="360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14:paraId="0DF9D5F7" w14:textId="451AEFDB" w:rsidR="00586504" w:rsidRPr="00586504" w:rsidRDefault="00586504" w:rsidP="00586504">
      <w:pPr>
        <w:pStyle w:val="Odsekzoznamu"/>
        <w:numPr>
          <w:ilvl w:val="0"/>
          <w:numId w:val="3"/>
        </w:numPr>
        <w:tabs>
          <w:tab w:val="left" w:pos="4678"/>
        </w:tabs>
        <w:rPr>
          <w:rFonts w:ascii="Times New Roman" w:hAnsi="Times New Roman"/>
          <w:b/>
          <w:iCs/>
          <w:sz w:val="20"/>
          <w:szCs w:val="20"/>
          <w:lang w:eastAsia="ar-SA"/>
        </w:rPr>
      </w:pPr>
      <w:proofErr w:type="spellStart"/>
      <w:r w:rsidRPr="00586504">
        <w:rPr>
          <w:rFonts w:ascii="Times New Roman" w:hAnsi="Times New Roman"/>
          <w:b/>
          <w:iCs/>
          <w:sz w:val="20"/>
          <w:szCs w:val="20"/>
          <w:lang w:eastAsia="ar-SA"/>
        </w:rPr>
        <w:t>Elderspeak</w:t>
      </w:r>
      <w:proofErr w:type="spellEnd"/>
      <w:r w:rsidRPr="00586504">
        <w:rPr>
          <w:rFonts w:ascii="Times New Roman" w:hAnsi="Times New Roman"/>
          <w:b/>
          <w:iCs/>
          <w:sz w:val="20"/>
          <w:szCs w:val="20"/>
          <w:lang w:eastAsia="ar-SA"/>
        </w:rPr>
        <w:t xml:space="preserve"> v ošetrovateľskej praxi</w:t>
      </w:r>
    </w:p>
    <w:p w14:paraId="36ADE5D9" w14:textId="4BB0789E" w:rsidR="005E1B71" w:rsidRPr="005D5F2F" w:rsidRDefault="00586504" w:rsidP="005D5F2F">
      <w:pPr>
        <w:pStyle w:val="Odsekzoznamu"/>
        <w:tabs>
          <w:tab w:val="left" w:pos="4678"/>
        </w:tabs>
        <w:ind w:left="360"/>
        <w:jc w:val="both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 xml:space="preserve">                       </w:t>
      </w:r>
      <w:r w:rsidR="005D5F2F">
        <w:rPr>
          <w:rFonts w:ascii="Times New Roman" w:hAnsi="Times New Roman"/>
          <w:b/>
          <w:iCs/>
          <w:sz w:val="20"/>
          <w:szCs w:val="20"/>
        </w:rPr>
        <w:t xml:space="preserve">     </w:t>
      </w:r>
      <w:r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5D5F2F">
        <w:rPr>
          <w:rFonts w:ascii="Times New Roman" w:hAnsi="Times New Roman"/>
          <w:b/>
          <w:iCs/>
          <w:sz w:val="20"/>
          <w:szCs w:val="20"/>
        </w:rPr>
        <w:t xml:space="preserve">         </w:t>
      </w:r>
      <w:r w:rsidRPr="005D5F2F">
        <w:rPr>
          <w:rFonts w:ascii="Times New Roman" w:hAnsi="Times New Roman"/>
          <w:b/>
          <w:iCs/>
          <w:sz w:val="20"/>
          <w:szCs w:val="20"/>
        </w:rPr>
        <w:t xml:space="preserve"> </w:t>
      </w:r>
      <w:proofErr w:type="spellStart"/>
      <w:r w:rsidRPr="005D5F2F">
        <w:rPr>
          <w:rFonts w:ascii="Times New Roman" w:hAnsi="Times New Roman"/>
          <w:bCs/>
          <w:i/>
          <w:sz w:val="20"/>
          <w:szCs w:val="20"/>
        </w:rPr>
        <w:t>Danková</w:t>
      </w:r>
      <w:proofErr w:type="spellEnd"/>
      <w:r w:rsidRPr="005D5F2F">
        <w:rPr>
          <w:rFonts w:ascii="Times New Roman" w:hAnsi="Times New Roman"/>
          <w:bCs/>
          <w:i/>
          <w:sz w:val="20"/>
          <w:szCs w:val="20"/>
        </w:rPr>
        <w:t xml:space="preserve"> S.</w:t>
      </w:r>
      <w:r w:rsidR="009518F1" w:rsidRPr="005D5F2F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5D5F2F">
        <w:rPr>
          <w:rFonts w:ascii="Times New Roman" w:hAnsi="Times New Roman"/>
          <w:bCs/>
          <w:i/>
          <w:sz w:val="20"/>
          <w:szCs w:val="20"/>
        </w:rPr>
        <w:t xml:space="preserve">   </w:t>
      </w:r>
      <w:r w:rsidR="009518F1" w:rsidRPr="005D5F2F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5D5F2F">
        <w:rPr>
          <w:rFonts w:ascii="Times New Roman" w:hAnsi="Times New Roman"/>
          <w:bCs/>
          <w:i/>
          <w:sz w:val="20"/>
          <w:szCs w:val="20"/>
        </w:rPr>
        <w:t xml:space="preserve"> (UPJŠ)</w:t>
      </w:r>
    </w:p>
    <w:p w14:paraId="485775BF" w14:textId="77777777" w:rsidR="005E1B71" w:rsidRDefault="005E1B71" w:rsidP="005E1B71">
      <w:pPr>
        <w:pStyle w:val="Odsekzoznamu"/>
        <w:ind w:left="360"/>
        <w:rPr>
          <w:rFonts w:ascii="Times New Roman" w:hAnsi="Times New Roman"/>
          <w:b/>
          <w:i/>
          <w:sz w:val="20"/>
          <w:szCs w:val="20"/>
          <w:lang w:eastAsia="sk-SK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</w:p>
    <w:p w14:paraId="441C9404" w14:textId="77777777" w:rsidR="00374F58" w:rsidRDefault="00374F58">
      <w:pPr>
        <w:rPr>
          <w:rFonts w:ascii="LatienneTCE-Medi" w:hAnsi="LatienneTCE-Medi" w:cs="LatienneTCE-Medi"/>
          <w:b/>
          <w:i/>
          <w:sz w:val="22"/>
          <w:szCs w:val="22"/>
          <w:lang w:eastAsia="sk-SK"/>
        </w:rPr>
      </w:pPr>
      <w:r>
        <w:rPr>
          <w:rFonts w:ascii="LatienneTCE-Medi" w:hAnsi="LatienneTCE-Medi" w:cs="LatienneTCE-Medi"/>
          <w:b/>
          <w:i/>
          <w:sz w:val="22"/>
          <w:szCs w:val="22"/>
          <w:lang w:eastAsia="sk-SK"/>
        </w:rPr>
        <w:t>Záver</w:t>
      </w:r>
    </w:p>
    <w:p w14:paraId="0AD00B3A" w14:textId="77777777" w:rsidR="009B6810" w:rsidRDefault="009B6810" w:rsidP="005E1B71">
      <w:pPr>
        <w:rPr>
          <w:rFonts w:cs="Times New Roman"/>
          <w:color w:val="000000"/>
          <w:sz w:val="22"/>
          <w:szCs w:val="22"/>
          <w:lang w:eastAsia="sk-SK"/>
        </w:rPr>
      </w:pPr>
    </w:p>
    <w:p w14:paraId="6C899D40" w14:textId="77777777" w:rsidR="009B6810" w:rsidRDefault="009B6810" w:rsidP="00BD44FC">
      <w:pPr>
        <w:jc w:val="center"/>
        <w:rPr>
          <w:rFonts w:cs="Times New Roman"/>
          <w:color w:val="000000"/>
          <w:sz w:val="22"/>
          <w:szCs w:val="22"/>
          <w:lang w:eastAsia="sk-SK"/>
        </w:rPr>
      </w:pPr>
    </w:p>
    <w:p w14:paraId="370E96E4" w14:textId="77777777" w:rsidR="00400E9C" w:rsidRDefault="00BD44FC" w:rsidP="00400E9C">
      <w:pPr>
        <w:rPr>
          <w:rFonts w:cs="Times New Roman"/>
          <w:color w:val="000000"/>
          <w:sz w:val="22"/>
          <w:szCs w:val="22"/>
          <w:lang w:eastAsia="sk-SK"/>
        </w:rPr>
      </w:pPr>
      <w:r>
        <w:rPr>
          <w:rFonts w:cs="Times New Roman"/>
          <w:color w:val="000000"/>
          <w:sz w:val="22"/>
          <w:szCs w:val="22"/>
          <w:lang w:eastAsia="sk-SK"/>
        </w:rPr>
        <w:t xml:space="preserve">Seminár je zaradený do systému hodnotenia </w:t>
      </w:r>
    </w:p>
    <w:p w14:paraId="45BF83B7" w14:textId="77777777" w:rsidR="00BD44FC" w:rsidRPr="00400E9C" w:rsidRDefault="00400E9C" w:rsidP="00400E9C">
      <w:pPr>
        <w:rPr>
          <w:rFonts w:cs="Times New Roman"/>
          <w:color w:val="000000"/>
          <w:sz w:val="22"/>
          <w:szCs w:val="22"/>
          <w:lang w:eastAsia="sk-SK"/>
        </w:rPr>
      </w:pPr>
      <w:r>
        <w:rPr>
          <w:rFonts w:cs="Times New Roman"/>
          <w:color w:val="000000"/>
          <w:sz w:val="22"/>
          <w:szCs w:val="22"/>
          <w:lang w:eastAsia="sk-SK"/>
        </w:rPr>
        <w:t>ú</w:t>
      </w:r>
      <w:r w:rsidR="00BD44FC">
        <w:rPr>
          <w:rFonts w:cs="Times New Roman"/>
          <w:color w:val="000000"/>
          <w:sz w:val="22"/>
          <w:szCs w:val="22"/>
          <w:lang w:eastAsia="sk-SK"/>
        </w:rPr>
        <w:t>časti</w:t>
      </w:r>
      <w:r>
        <w:rPr>
          <w:rFonts w:cs="Times New Roman"/>
          <w:color w:val="000000"/>
          <w:sz w:val="22"/>
          <w:szCs w:val="22"/>
          <w:lang w:eastAsia="sk-SK"/>
        </w:rPr>
        <w:t xml:space="preserve"> </w:t>
      </w:r>
      <w:r w:rsidR="00BD44FC">
        <w:rPr>
          <w:rFonts w:cs="Times New Roman"/>
          <w:color w:val="000000"/>
          <w:sz w:val="22"/>
          <w:szCs w:val="22"/>
          <w:lang w:eastAsia="sk-SK"/>
        </w:rPr>
        <w:t>na odborných vedeckých podujatiach</w:t>
      </w:r>
    </w:p>
    <w:p w14:paraId="5F2CE9FB" w14:textId="77777777" w:rsidR="00400E9C" w:rsidRDefault="00400E9C" w:rsidP="00400E9C">
      <w:pPr>
        <w:widowControl w:val="0"/>
        <w:shd w:val="clear" w:color="auto" w:fill="FFFFFF"/>
        <w:overflowPunct w:val="0"/>
        <w:autoSpaceDE w:val="0"/>
        <w:ind w:right="102"/>
        <w:rPr>
          <w:rFonts w:cs="Times New Roman"/>
          <w:sz w:val="22"/>
          <w:szCs w:val="22"/>
        </w:rPr>
      </w:pPr>
    </w:p>
    <w:p w14:paraId="59192E9B" w14:textId="77777777" w:rsidR="00E76B59" w:rsidRDefault="00BD44FC" w:rsidP="00400E9C">
      <w:pPr>
        <w:widowControl w:val="0"/>
        <w:shd w:val="clear" w:color="auto" w:fill="FFFFFF"/>
        <w:overflowPunct w:val="0"/>
        <w:autoSpaceDE w:val="0"/>
        <w:ind w:left="-142" w:right="102" w:firstLine="142"/>
        <w:rPr>
          <w:rFonts w:ascii="LatienneTCE-Medi" w:eastAsia="LatienneTCE-Medi" w:hAnsi="LatienneTCE-Medi" w:cs="Times New Roman"/>
          <w:b/>
          <w:bCs/>
          <w:sz w:val="22"/>
          <w:szCs w:val="22"/>
        </w:rPr>
      </w:pPr>
      <w:r>
        <w:rPr>
          <w:rFonts w:ascii="LatienneTCE-Medi" w:eastAsia="LatienneTCE-Medi" w:hAnsi="LatienneTCE-Medi" w:cs="Times New Roman"/>
          <w:b/>
          <w:bCs/>
          <w:sz w:val="22"/>
          <w:szCs w:val="22"/>
        </w:rPr>
        <w:t xml:space="preserve">Účastníkom odborného seminára budú </w:t>
      </w:r>
    </w:p>
    <w:p w14:paraId="361DC3C8" w14:textId="77777777" w:rsidR="00E76B59" w:rsidRDefault="00E76B59" w:rsidP="00400E9C">
      <w:pPr>
        <w:widowControl w:val="0"/>
        <w:shd w:val="clear" w:color="auto" w:fill="FFFFFF"/>
        <w:overflowPunct w:val="0"/>
        <w:autoSpaceDE w:val="0"/>
        <w:ind w:left="-142" w:right="102" w:firstLine="142"/>
        <w:rPr>
          <w:rFonts w:ascii="LatienneTCE-Medi" w:eastAsia="LatienneTCE-Medi" w:hAnsi="LatienneTCE-Medi" w:cs="Times New Roman"/>
          <w:b/>
          <w:bCs/>
          <w:sz w:val="22"/>
          <w:szCs w:val="22"/>
        </w:rPr>
      </w:pPr>
      <w:r>
        <w:rPr>
          <w:rFonts w:ascii="LatienneTCE-Medi" w:eastAsia="LatienneTCE-Medi" w:hAnsi="LatienneTCE-Medi" w:cs="Times New Roman"/>
          <w:b/>
          <w:bCs/>
          <w:sz w:val="22"/>
          <w:szCs w:val="22"/>
        </w:rPr>
        <w:t xml:space="preserve">  </w:t>
      </w:r>
      <w:r w:rsidR="00BD44FC">
        <w:rPr>
          <w:rFonts w:ascii="LatienneTCE-Medi" w:eastAsia="LatienneTCE-Medi" w:hAnsi="LatienneTCE-Medi" w:cs="Times New Roman"/>
          <w:b/>
          <w:bCs/>
          <w:sz w:val="22"/>
          <w:szCs w:val="22"/>
        </w:rPr>
        <w:t xml:space="preserve">priznané kredity v zmysle vyhlášky </w:t>
      </w:r>
    </w:p>
    <w:p w14:paraId="2EEC9078" w14:textId="09BC8CA9" w:rsidR="00BD44FC" w:rsidRDefault="00E76B59" w:rsidP="00400E9C">
      <w:pPr>
        <w:widowControl w:val="0"/>
        <w:shd w:val="clear" w:color="auto" w:fill="FFFFFF"/>
        <w:overflowPunct w:val="0"/>
        <w:autoSpaceDE w:val="0"/>
        <w:ind w:left="-142" w:right="102" w:firstLine="142"/>
        <w:rPr>
          <w:rFonts w:ascii="LatienneTCE-Medi" w:eastAsia="LatienneTCE-Medi" w:hAnsi="LatienneTCE-Medi" w:cs="LatienneTCE-Medi"/>
          <w:bCs/>
          <w:sz w:val="22"/>
          <w:szCs w:val="22"/>
        </w:rPr>
      </w:pPr>
      <w:r>
        <w:rPr>
          <w:rFonts w:ascii="LatienneTCE-Medi" w:eastAsia="LatienneTCE-Medi" w:hAnsi="LatienneTCE-Medi" w:cs="Times New Roman"/>
          <w:b/>
          <w:bCs/>
          <w:sz w:val="22"/>
          <w:szCs w:val="22"/>
        </w:rPr>
        <w:t xml:space="preserve">           </w:t>
      </w:r>
      <w:r w:rsidR="00BD44FC">
        <w:rPr>
          <w:rFonts w:ascii="LatienneTCE-Medi" w:eastAsia="LatienneTCE-Medi" w:hAnsi="LatienneTCE-Medi" w:cs="Times New Roman"/>
          <w:b/>
          <w:bCs/>
          <w:sz w:val="22"/>
          <w:szCs w:val="22"/>
        </w:rPr>
        <w:t xml:space="preserve">MZ SR  č. </w:t>
      </w:r>
      <w:r w:rsidR="00D10398">
        <w:rPr>
          <w:rFonts w:ascii="LatienneTCE-Medi" w:eastAsia="LatienneTCE-Medi" w:hAnsi="LatienneTCE-Medi" w:cs="Times New Roman"/>
          <w:b/>
          <w:bCs/>
          <w:sz w:val="22"/>
          <w:szCs w:val="22"/>
        </w:rPr>
        <w:t>74</w:t>
      </w:r>
      <w:r w:rsidR="00BD44FC">
        <w:rPr>
          <w:rFonts w:ascii="LatienneTCE-Medi" w:eastAsia="LatienneTCE-Medi" w:hAnsi="LatienneTCE-Medi" w:cs="Times New Roman"/>
          <w:b/>
          <w:bCs/>
          <w:sz w:val="22"/>
          <w:szCs w:val="22"/>
        </w:rPr>
        <w:t>/</w:t>
      </w:r>
      <w:r w:rsidR="00D10398">
        <w:rPr>
          <w:rFonts w:ascii="LatienneTCE-Medi" w:eastAsia="LatienneTCE-Medi" w:hAnsi="LatienneTCE-Medi" w:cs="Times New Roman"/>
          <w:b/>
          <w:bCs/>
          <w:sz w:val="22"/>
          <w:szCs w:val="22"/>
        </w:rPr>
        <w:t xml:space="preserve">2019 </w:t>
      </w:r>
      <w:r w:rsidR="00BD44FC">
        <w:rPr>
          <w:rFonts w:ascii="LatienneTCE-Medi" w:eastAsia="LatienneTCE-Medi" w:hAnsi="LatienneTCE-Medi" w:cs="Times New Roman"/>
          <w:b/>
          <w:bCs/>
          <w:sz w:val="22"/>
          <w:szCs w:val="22"/>
        </w:rPr>
        <w:t xml:space="preserve"> </w:t>
      </w:r>
      <w:proofErr w:type="spellStart"/>
      <w:r w:rsidR="00BD44FC">
        <w:rPr>
          <w:rFonts w:ascii="LatienneTCE-Medi" w:eastAsia="LatienneTCE-Medi" w:hAnsi="LatienneTCE-Medi" w:cs="Times New Roman"/>
          <w:b/>
          <w:bCs/>
          <w:sz w:val="22"/>
          <w:szCs w:val="22"/>
        </w:rPr>
        <w:t>Z.z</w:t>
      </w:r>
      <w:proofErr w:type="spellEnd"/>
      <w:r w:rsidR="00BD44FC">
        <w:rPr>
          <w:rFonts w:ascii="LatienneTCE-Medi" w:eastAsia="LatienneTCE-Medi" w:hAnsi="LatienneTCE-Medi" w:cs="Times New Roman"/>
          <w:b/>
          <w:bCs/>
          <w:sz w:val="22"/>
          <w:szCs w:val="22"/>
        </w:rPr>
        <w:t>.</w:t>
      </w:r>
    </w:p>
    <w:p w14:paraId="446F2A01" w14:textId="77777777" w:rsidR="00BD44FC" w:rsidRDefault="00BD44FC" w:rsidP="00BD44FC">
      <w:pPr>
        <w:jc w:val="center"/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77AB3D1B" w14:textId="77777777" w:rsidR="009A1D22" w:rsidRDefault="009A1D22" w:rsidP="00BD44FC">
      <w:pPr>
        <w:jc w:val="center"/>
        <w:rPr>
          <w:rFonts w:ascii="LatienneTCE-Medi" w:hAnsi="LatienneTCE-Medi" w:cs="LatienneTCE-Medi"/>
          <w:b/>
          <w:bCs/>
          <w:i/>
          <w:sz w:val="22"/>
          <w:szCs w:val="22"/>
          <w:lang w:eastAsia="sk-SK"/>
        </w:rPr>
      </w:pPr>
    </w:p>
    <w:p w14:paraId="7F541F5A" w14:textId="77777777" w:rsidR="009B23BB" w:rsidRDefault="009E2AC7" w:rsidP="007875CA">
      <w:pPr>
        <w:rPr>
          <w:rFonts w:cs="Times New Roman"/>
          <w:b/>
          <w:i/>
          <w:sz w:val="22"/>
          <w:szCs w:val="22"/>
          <w:lang w:eastAsia="sk-SK"/>
        </w:rPr>
      </w:pPr>
      <w:r>
        <w:rPr>
          <w:rFonts w:cs="Times New Roman"/>
          <w:b/>
          <w:i/>
          <w:sz w:val="22"/>
          <w:szCs w:val="22"/>
          <w:lang w:eastAsia="sk-SK"/>
        </w:rPr>
        <w:t xml:space="preserve">Potvrdenia sa budú odovzdávať až po </w:t>
      </w:r>
    </w:p>
    <w:p w14:paraId="5943CB49" w14:textId="77777777" w:rsidR="00374F58" w:rsidRDefault="009E2AC7" w:rsidP="007875CA">
      <w:pPr>
        <w:rPr>
          <w:sz w:val="22"/>
          <w:szCs w:val="22"/>
        </w:rPr>
      </w:pPr>
      <w:r>
        <w:rPr>
          <w:rFonts w:cs="Times New Roman"/>
          <w:b/>
          <w:i/>
          <w:sz w:val="22"/>
          <w:szCs w:val="22"/>
          <w:lang w:eastAsia="sk-SK"/>
        </w:rPr>
        <w:t xml:space="preserve">ukončení </w:t>
      </w:r>
      <w:r w:rsidR="00400E9C">
        <w:rPr>
          <w:rFonts w:cs="Times New Roman"/>
          <w:b/>
          <w:i/>
          <w:sz w:val="22"/>
          <w:szCs w:val="22"/>
          <w:lang w:eastAsia="sk-SK"/>
        </w:rPr>
        <w:t xml:space="preserve">  </w:t>
      </w:r>
      <w:r>
        <w:rPr>
          <w:rFonts w:cs="Times New Roman"/>
          <w:b/>
          <w:i/>
          <w:sz w:val="22"/>
          <w:szCs w:val="22"/>
          <w:lang w:eastAsia="sk-SK"/>
        </w:rPr>
        <w:t>seminára</w:t>
      </w:r>
    </w:p>
    <w:sectPr w:rsidR="00374F58" w:rsidSect="00C7086D">
      <w:pgSz w:w="16838" w:h="11906" w:orient="landscape"/>
      <w:pgMar w:top="284" w:right="395" w:bottom="284" w:left="284" w:header="708" w:footer="708" w:gutter="0"/>
      <w:cols w:num="3" w:sep="1" w:space="953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ienneTCE-Medi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ienneTCE-Med">
    <w:altName w:val="Times New Roman"/>
    <w:charset w:val="EE"/>
    <w:family w:val="roman"/>
    <w:pitch w:val="variable"/>
  </w:font>
  <w:font w:name="MS Shell Dlg 2">
    <w:panose1 w:val="020B0604030504040204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44491729">
    <w:abstractNumId w:val="0"/>
  </w:num>
  <w:num w:numId="2" w16cid:durableId="258414276">
    <w:abstractNumId w:val="1"/>
  </w:num>
  <w:num w:numId="3" w16cid:durableId="4052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2"/>
    <w:rsid w:val="00004C68"/>
    <w:rsid w:val="00035EB7"/>
    <w:rsid w:val="000619F6"/>
    <w:rsid w:val="000C6081"/>
    <w:rsid w:val="000E6358"/>
    <w:rsid w:val="00161A7F"/>
    <w:rsid w:val="001831BA"/>
    <w:rsid w:val="00360B42"/>
    <w:rsid w:val="00374F58"/>
    <w:rsid w:val="00376D0F"/>
    <w:rsid w:val="003C7CBE"/>
    <w:rsid w:val="003E7A06"/>
    <w:rsid w:val="00400E9C"/>
    <w:rsid w:val="00412788"/>
    <w:rsid w:val="004175D0"/>
    <w:rsid w:val="00457290"/>
    <w:rsid w:val="005772B1"/>
    <w:rsid w:val="00586504"/>
    <w:rsid w:val="005A2CAA"/>
    <w:rsid w:val="005D5F2F"/>
    <w:rsid w:val="005E1B71"/>
    <w:rsid w:val="00600059"/>
    <w:rsid w:val="006543C1"/>
    <w:rsid w:val="006637A3"/>
    <w:rsid w:val="006A0915"/>
    <w:rsid w:val="00771B9D"/>
    <w:rsid w:val="007875CA"/>
    <w:rsid w:val="007C2314"/>
    <w:rsid w:val="00843727"/>
    <w:rsid w:val="009518F1"/>
    <w:rsid w:val="009A1D22"/>
    <w:rsid w:val="009B23BB"/>
    <w:rsid w:val="009B5A15"/>
    <w:rsid w:val="009B6810"/>
    <w:rsid w:val="009E2AC7"/>
    <w:rsid w:val="009F0AB2"/>
    <w:rsid w:val="00A317BA"/>
    <w:rsid w:val="00A62F19"/>
    <w:rsid w:val="00A75193"/>
    <w:rsid w:val="00B0656A"/>
    <w:rsid w:val="00B83F94"/>
    <w:rsid w:val="00BD44FC"/>
    <w:rsid w:val="00BE4DDF"/>
    <w:rsid w:val="00BF2BD3"/>
    <w:rsid w:val="00C7086D"/>
    <w:rsid w:val="00C87A22"/>
    <w:rsid w:val="00D10398"/>
    <w:rsid w:val="00D31B03"/>
    <w:rsid w:val="00D55908"/>
    <w:rsid w:val="00E17EB8"/>
    <w:rsid w:val="00E644EE"/>
    <w:rsid w:val="00E71AF9"/>
    <w:rsid w:val="00E76B59"/>
    <w:rsid w:val="00EC536E"/>
    <w:rsid w:val="00ED141A"/>
    <w:rsid w:val="00F86349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AF1B5"/>
  <w15:chartTrackingRefBased/>
  <w15:docId w15:val="{B7418452-6589-4A8F-9FD1-8EB709AE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sz w:val="22"/>
      <w:szCs w:val="22"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Odsekzoznamu">
    <w:name w:val="List Paragraph"/>
    <w:basedOn w:val="Norm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175D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75D0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BE4DDF"/>
    <w:pPr>
      <w:suppressAutoHyphens w:val="0"/>
      <w:spacing w:before="100" w:beforeAutospacing="1" w:after="100" w:afterAutospacing="1"/>
    </w:pPr>
    <w:rPr>
      <w:rFonts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Fabianová</cp:lastModifiedBy>
  <cp:revision>9</cp:revision>
  <cp:lastPrinted>2018-05-03T06:05:00Z</cp:lastPrinted>
  <dcterms:created xsi:type="dcterms:W3CDTF">2024-04-25T17:08:00Z</dcterms:created>
  <dcterms:modified xsi:type="dcterms:W3CDTF">2024-04-29T16:10:00Z</dcterms:modified>
</cp:coreProperties>
</file>